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93" w:rsidRDefault="00B36393" w:rsidP="00D33D91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2C045A" w:rsidRDefault="002C045A" w:rsidP="002C045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O</w:t>
      </w:r>
      <w:r w:rsidRPr="00B36393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bservación  de las elecciones comunales y regionales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(</w:t>
      </w:r>
      <w:r w:rsidR="00BB7026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4 de septiembre de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2015)</w:t>
      </w:r>
    </w:p>
    <w:p w:rsidR="00B36393" w:rsidRPr="00B36393" w:rsidRDefault="00906052" w:rsidP="002C045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B36393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Recomendaciones </w:t>
      </w:r>
      <w:r w:rsidR="002C045A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del informe preliminar </w:t>
      </w:r>
      <w:r w:rsidR="00B36393" w:rsidRPr="00B36393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del CNDH </w:t>
      </w:r>
    </w:p>
    <w:p w:rsidR="00415757" w:rsidRDefault="004C40F1" w:rsidP="00630481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>En virtud de los poderes que le son conferidos por el Dahir 1.11.19 del 1 de marzo de 2011 relativo a su creación y la ley 30.11 del 29 de septiembre 2011 sobre la observación neutra e independiente de las elecciones, (que estipul</w:t>
      </w:r>
      <w:r w:rsidR="00630481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 xml:space="preserve"> la creación de la Comisión de acreditación de los observadores nacionales e internacionales), </w:t>
      </w:r>
      <w:r w:rsidR="00ED6072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>l Consejo nacional de derechos humanos (CNDH) presenta sus conclusiones preliminares sobre</w:t>
      </w:r>
      <w:r w:rsidR="00ED6072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630481">
        <w:rPr>
          <w:rFonts w:asciiTheme="majorBidi" w:hAnsiTheme="majorBidi" w:cstheme="majorBidi"/>
          <w:sz w:val="24"/>
          <w:szCs w:val="24"/>
          <w:lang w:val="es-ES"/>
        </w:rPr>
        <w:t>la observación d</w:t>
      </w:r>
      <w:r w:rsidR="00ED6072">
        <w:rPr>
          <w:rFonts w:asciiTheme="majorBidi" w:hAnsiTheme="majorBidi" w:cstheme="majorBidi"/>
          <w:sz w:val="24"/>
          <w:szCs w:val="24"/>
          <w:lang w:val="es-ES"/>
        </w:rPr>
        <w:t>el proceso electoral. Un informe definitivo será publicado después de la elección de la Cámara de consejeros</w:t>
      </w:r>
      <w:r w:rsidR="00630481">
        <w:rPr>
          <w:rFonts w:asciiTheme="majorBidi" w:hAnsiTheme="majorBidi" w:cstheme="majorBidi"/>
          <w:sz w:val="24"/>
          <w:szCs w:val="24"/>
          <w:lang w:val="es-ES"/>
        </w:rPr>
        <w:t>,</w:t>
      </w:r>
      <w:r w:rsidR="00ED6072">
        <w:rPr>
          <w:rFonts w:asciiTheme="majorBidi" w:hAnsiTheme="majorBidi" w:cstheme="majorBidi"/>
          <w:sz w:val="24"/>
          <w:szCs w:val="24"/>
          <w:lang w:val="es-ES"/>
        </w:rPr>
        <w:t xml:space="preserve"> prevista el 2 de octubre de 2015.</w:t>
      </w:r>
    </w:p>
    <w:p w:rsidR="0032233D" w:rsidRPr="00ED6072" w:rsidRDefault="00630481" w:rsidP="00ED6072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En este marco, el</w:t>
      </w:r>
      <w:r w:rsidR="00755733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Consejo nacional de derechos humanos (CNDH) recomienda:</w:t>
      </w:r>
    </w:p>
    <w:p w:rsidR="00D33D91" w:rsidRPr="00B36393" w:rsidRDefault="00755733" w:rsidP="00D33D9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</w:pPr>
      <w:r w:rsidRPr="00B3639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Al Parlamento</w:t>
      </w:r>
      <w:r w:rsidR="00482BD2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y al Gobierno</w:t>
      </w:r>
      <w:r w:rsidRPr="00B3639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</w:t>
      </w:r>
    </w:p>
    <w:p w:rsidR="00755733" w:rsidRDefault="00755733" w:rsidP="00A1697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Responder a </w:t>
      </w:r>
      <w:r w:rsidR="00B36393">
        <w:rPr>
          <w:rFonts w:asciiTheme="majorBidi" w:hAnsiTheme="majorBidi" w:cstheme="majorBidi"/>
          <w:sz w:val="24"/>
          <w:szCs w:val="24"/>
          <w:lang w:val="es-ES"/>
        </w:rPr>
        <w:t>los requisitos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CC1FFA">
        <w:rPr>
          <w:rFonts w:asciiTheme="majorBidi" w:hAnsiTheme="majorBidi" w:cstheme="majorBidi"/>
          <w:sz w:val="24"/>
          <w:szCs w:val="24"/>
          <w:lang w:val="es-ES"/>
        </w:rPr>
        <w:t xml:space="preserve">de una legislación </w:t>
      </w:r>
      <w:r w:rsidR="00CC1FFA" w:rsidRPr="00D33D91">
        <w:rPr>
          <w:rFonts w:asciiTheme="majorBidi" w:hAnsiTheme="majorBidi" w:cstheme="majorBidi"/>
          <w:sz w:val="24"/>
          <w:szCs w:val="24"/>
          <w:lang w:val="es-ES"/>
        </w:rPr>
        <w:t xml:space="preserve">electoral </w:t>
      </w:r>
      <w:r w:rsidR="00CC1FFA">
        <w:rPr>
          <w:rFonts w:asciiTheme="majorBidi" w:hAnsiTheme="majorBidi" w:cstheme="majorBidi"/>
          <w:sz w:val="24"/>
          <w:szCs w:val="24"/>
          <w:lang w:val="es-ES"/>
        </w:rPr>
        <w:t>estable,</w:t>
      </w:r>
      <w:r w:rsidR="00B36393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mediante la adopción de leyes que regulan </w:t>
      </w:r>
      <w:r w:rsidR="00CC1FFA">
        <w:rPr>
          <w:rFonts w:asciiTheme="majorBidi" w:hAnsiTheme="majorBidi" w:cstheme="majorBidi"/>
          <w:sz w:val="24"/>
          <w:szCs w:val="24"/>
          <w:lang w:val="es-ES"/>
        </w:rPr>
        <w:t xml:space="preserve">sus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>elementos fundamentales</w:t>
      </w:r>
      <w:r w:rsidR="00ED6072">
        <w:rPr>
          <w:rFonts w:asciiTheme="majorBidi" w:hAnsiTheme="majorBidi" w:cstheme="majorBidi"/>
          <w:sz w:val="24"/>
          <w:szCs w:val="24"/>
          <w:lang w:val="es-ES"/>
        </w:rPr>
        <w:t xml:space="preserve">. Recomienda también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la </w:t>
      </w:r>
      <w:r w:rsidR="00D33D91" w:rsidRPr="00D33D91">
        <w:rPr>
          <w:rFonts w:asciiTheme="majorBidi" w:hAnsiTheme="majorBidi" w:cstheme="majorBidi"/>
          <w:sz w:val="24"/>
          <w:szCs w:val="24"/>
          <w:lang w:val="es-ES"/>
        </w:rPr>
        <w:t xml:space="preserve">división </w:t>
      </w:r>
      <w:r w:rsidR="00A16971">
        <w:rPr>
          <w:rFonts w:asciiTheme="majorBidi" w:hAnsiTheme="majorBidi" w:cstheme="majorBidi"/>
          <w:sz w:val="24"/>
          <w:szCs w:val="24"/>
          <w:lang w:val="es-ES"/>
        </w:rPr>
        <w:t>de las</w:t>
      </w:r>
      <w:r w:rsidR="00D33D91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circunscripciones electorales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por lo menos 6 meses antes de la fecha de </w:t>
      </w:r>
      <w:r w:rsidR="00B26263">
        <w:rPr>
          <w:rFonts w:asciiTheme="majorBidi" w:hAnsiTheme="majorBidi" w:cstheme="majorBidi"/>
          <w:sz w:val="24"/>
          <w:szCs w:val="24"/>
          <w:lang w:val="es-ES"/>
        </w:rPr>
        <w:t>las elecciones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correspondiente</w:t>
      </w:r>
      <w:r w:rsidR="00B26263">
        <w:rPr>
          <w:rFonts w:asciiTheme="majorBidi" w:hAnsiTheme="majorBidi" w:cstheme="majorBidi"/>
          <w:sz w:val="24"/>
          <w:szCs w:val="24"/>
          <w:lang w:val="es-ES"/>
        </w:rPr>
        <w:t>s</w:t>
      </w:r>
    </w:p>
    <w:p w:rsidR="000A3EFE" w:rsidRPr="00D33D91" w:rsidRDefault="000A3EFE" w:rsidP="000A3EFE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9A5AD3" w:rsidRDefault="009A5AD3" w:rsidP="0063048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</w:pP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Introducir </w:t>
      </w:r>
      <w:r w:rsidR="00B26263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en el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artículo 129 de la Ley Orgánica 59.11, relativa a la elección de los miembros de los concejos de las colectividades territoriales, una disposición que prevea</w:t>
      </w:r>
      <w:r w:rsidR="0032233D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</w:t>
      </w:r>
      <w:r w:rsidR="0032233D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que la </w:t>
      </w:r>
      <w:r w:rsidR="00ED6072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diferencia</w:t>
      </w:r>
      <w:r w:rsidR="0032233D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</w:t>
      </w:r>
      <w:r w:rsidR="0063048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en la</w:t>
      </w:r>
      <w:r w:rsidR="0032233D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representación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, a nivel de las comunas sometidas a escrutinio uninominal (número de habitantes por </w:t>
      </w:r>
      <w:r w:rsidR="00B26263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cada 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electo)</w:t>
      </w:r>
      <w:r w:rsidR="0032233D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,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no deberá superar el 15%, excepto en las comunas ubicadas en zonas montañosas, de difícil acceso o de baja densidad de </w:t>
      </w:r>
      <w:r w:rsidR="00B930E5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la 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población, las cuales pueden beneficiarse de una discriminación geográfica positiva.</w:t>
      </w:r>
    </w:p>
    <w:p w:rsidR="00D33D91" w:rsidRPr="00D33D91" w:rsidRDefault="00D33D91" w:rsidP="00D33D91">
      <w:pPr>
        <w:pStyle w:val="Paragraphedeliste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</w:pPr>
    </w:p>
    <w:p w:rsidR="001C1380" w:rsidRDefault="009A5AD3" w:rsidP="001C138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>Proporcionar soluciones alternativas para el voto de los marroquíes residentes en el extranjero (voto electrónico, voto por correo)</w:t>
      </w:r>
    </w:p>
    <w:p w:rsidR="001C1380" w:rsidRPr="001C1380" w:rsidRDefault="001C1380" w:rsidP="001C1380">
      <w:pPr>
        <w:pStyle w:val="Paragraphedeliste"/>
        <w:rPr>
          <w:rFonts w:asciiTheme="majorBidi" w:hAnsiTheme="majorBidi" w:cstheme="majorBidi"/>
          <w:sz w:val="24"/>
          <w:szCs w:val="24"/>
          <w:lang w:val="es-ES"/>
        </w:rPr>
      </w:pPr>
    </w:p>
    <w:p w:rsidR="00B930E5" w:rsidRPr="001C1380" w:rsidRDefault="00D33D91" w:rsidP="004C40F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1C1380">
        <w:rPr>
          <w:rFonts w:asciiTheme="majorBidi" w:hAnsiTheme="majorBidi" w:cstheme="majorBidi"/>
          <w:sz w:val="24"/>
          <w:szCs w:val="24"/>
          <w:lang w:val="es-ES"/>
        </w:rPr>
        <w:t>Considerar</w:t>
      </w:r>
      <w:r w:rsidR="009A5AD3" w:rsidRPr="001C1380">
        <w:rPr>
          <w:rFonts w:asciiTheme="majorBidi" w:hAnsiTheme="majorBidi" w:cstheme="majorBidi"/>
          <w:sz w:val="24"/>
          <w:szCs w:val="24"/>
          <w:lang w:val="es-ES"/>
        </w:rPr>
        <w:t xml:space="preserve"> como infracciones electorales la utilización de niños en la campa</w:t>
      </w:r>
      <w:r w:rsidRPr="001C1380">
        <w:rPr>
          <w:rFonts w:asciiTheme="majorBidi" w:hAnsiTheme="majorBidi" w:cstheme="majorBidi"/>
          <w:sz w:val="24"/>
          <w:szCs w:val="24"/>
          <w:lang w:val="es-ES"/>
        </w:rPr>
        <w:t>ñ</w:t>
      </w:r>
      <w:r w:rsidR="009A5AD3" w:rsidRPr="001C1380">
        <w:rPr>
          <w:rFonts w:asciiTheme="majorBidi" w:hAnsiTheme="majorBidi" w:cstheme="majorBidi"/>
          <w:sz w:val="24"/>
          <w:szCs w:val="24"/>
          <w:lang w:val="es-ES"/>
        </w:rPr>
        <w:t xml:space="preserve">a electoral, así como la utilización de expresiones discriminatorias por razón de sexo, color, creencias, cultura, origen social o regional, la lengua, la discapacidad o cualquier </w:t>
      </w:r>
      <w:r w:rsidR="004C40F1">
        <w:rPr>
          <w:rFonts w:asciiTheme="majorBidi" w:hAnsiTheme="majorBidi" w:cstheme="majorBidi"/>
          <w:sz w:val="24"/>
          <w:szCs w:val="24"/>
          <w:lang w:val="es-ES"/>
        </w:rPr>
        <w:t>otro motivo</w:t>
      </w:r>
      <w:r w:rsidR="009A5AD3" w:rsidRPr="001C1380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1C1380" w:rsidRPr="00CC1FFA" w:rsidRDefault="001C1380" w:rsidP="001C138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0E53A7" w:rsidRPr="001C1380" w:rsidRDefault="000A3EFE" w:rsidP="0063048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Prever </w:t>
      </w:r>
      <w:r w:rsidR="00ED2F61">
        <w:rPr>
          <w:rFonts w:asciiTheme="majorBidi" w:hAnsiTheme="majorBidi" w:cstheme="majorBidi"/>
          <w:sz w:val="24"/>
          <w:szCs w:val="24"/>
          <w:lang w:val="es-ES"/>
        </w:rPr>
        <w:t>en la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ley</w:t>
      </w:r>
      <w:r w:rsidR="009A5AD3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ED2F61">
        <w:rPr>
          <w:rFonts w:asciiTheme="majorBidi" w:hAnsiTheme="majorBidi" w:cstheme="majorBidi"/>
          <w:sz w:val="24"/>
          <w:szCs w:val="24"/>
          <w:lang w:val="es-ES"/>
        </w:rPr>
        <w:t>una disposición que o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bliga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</w:t>
      </w:r>
      <w:r w:rsidR="000E53A7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el cabeza de la lista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</w:t>
      </w:r>
      <w:r w:rsidR="004C40F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de 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las comunas sometidas al escrutinio en lista y en las demás colectividades territoriales</w:t>
      </w:r>
      <w:r w:rsidR="0063048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</w:t>
      </w:r>
      <w:r w:rsidR="00ED2F6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abrir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una cuenta bancaria </w:t>
      </w:r>
      <w:r w:rsidR="00BB7026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única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</w:t>
      </w:r>
      <w:r w:rsidR="001C1380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para</w:t>
      </w:r>
      <w:r w:rsidR="00CC1FFA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los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gastos de la campaña electoral y </w:t>
      </w:r>
      <w:r w:rsidR="0063048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nombrar</w:t>
      </w:r>
      <w:r w:rsidR="00ED2F6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a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un </w:t>
      </w:r>
      <w:r w:rsidR="00482BD2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agente financiero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encargado de la gestión </w:t>
      </w:r>
      <w:r w:rsidR="00482BD2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del presupuesto</w:t>
      </w:r>
      <w:r w:rsidR="009A5AD3"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de la campaña.</w:t>
      </w:r>
    </w:p>
    <w:p w:rsidR="001C1380" w:rsidRPr="00CC1FFA" w:rsidRDefault="001C1380" w:rsidP="001C138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B930E5" w:rsidRDefault="009A5AD3" w:rsidP="00B2626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>Someter</w:t>
      </w:r>
      <w:r w:rsidR="00B26263" w:rsidRPr="00B26263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26263" w:rsidRPr="00D33D91">
        <w:rPr>
          <w:rFonts w:asciiTheme="majorBidi" w:hAnsiTheme="majorBidi" w:cstheme="majorBidi"/>
          <w:sz w:val="24"/>
          <w:szCs w:val="24"/>
          <w:lang w:val="es-ES"/>
        </w:rPr>
        <w:t>los asistentes electorales</w:t>
      </w:r>
      <w:r w:rsidR="00B511DF" w:rsidRPr="00D33D91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CC1FFA">
        <w:rPr>
          <w:rFonts w:asciiTheme="majorBidi" w:hAnsiTheme="majorBidi" w:cstheme="majorBidi"/>
          <w:sz w:val="24"/>
          <w:szCs w:val="24"/>
          <w:lang w:val="es-ES"/>
        </w:rPr>
        <w:t>en virtud de</w:t>
      </w:r>
      <w:r w:rsidR="00B511DF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la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ley, </w:t>
      </w:r>
      <w:r w:rsidR="000E53A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B511DF" w:rsidRPr="00D33D91">
        <w:rPr>
          <w:rFonts w:asciiTheme="majorBidi" w:hAnsiTheme="majorBidi" w:cstheme="majorBidi"/>
          <w:sz w:val="24"/>
          <w:szCs w:val="24"/>
          <w:lang w:val="es-ES"/>
        </w:rPr>
        <w:t xml:space="preserve">l sistema de contratos </w:t>
      </w:r>
      <w:r w:rsidR="00482BD2">
        <w:rPr>
          <w:rFonts w:asciiTheme="majorBidi" w:hAnsiTheme="majorBidi" w:cstheme="majorBidi"/>
          <w:sz w:val="24"/>
          <w:szCs w:val="24"/>
          <w:lang w:val="es-ES"/>
        </w:rPr>
        <w:t>con</w:t>
      </w:r>
      <w:r w:rsidR="00B511DF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duración determinada </w:t>
      </w:r>
    </w:p>
    <w:p w:rsidR="001C1380" w:rsidRPr="00CC1FFA" w:rsidRDefault="001C1380" w:rsidP="001C138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0A46F5" w:rsidRPr="00D33D91" w:rsidRDefault="00B511DF" w:rsidP="0063048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lastRenderedPageBreak/>
        <w:t>Reforzar la protección de los datos personales en el marco de las operaciones electorales</w:t>
      </w:r>
      <w:r w:rsidR="00B26263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mediante la aplicación de las 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>directrices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contenidas en la </w:t>
      </w:r>
      <w:r w:rsidR="00591123" w:rsidRPr="00D33D91">
        <w:rPr>
          <w:rFonts w:asciiTheme="majorBidi" w:hAnsiTheme="majorBidi" w:cstheme="majorBidi"/>
          <w:sz w:val="24"/>
          <w:szCs w:val="24"/>
          <w:lang w:val="es-ES"/>
        </w:rPr>
        <w:t>deliberación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 xml:space="preserve">N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>108-2015 del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>14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>.</w:t>
      </w:r>
      <w:r w:rsidR="00591123" w:rsidRPr="00D33D91">
        <w:rPr>
          <w:rFonts w:asciiTheme="majorBidi" w:hAnsiTheme="majorBidi" w:cstheme="majorBidi"/>
          <w:sz w:val="24"/>
          <w:szCs w:val="24"/>
          <w:lang w:val="es-ES"/>
        </w:rPr>
        <w:t>07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.2015 de la </w:t>
      </w:r>
      <w:r w:rsidR="000E53A7">
        <w:rPr>
          <w:rFonts w:asciiTheme="majorBidi" w:hAnsiTheme="majorBidi" w:cstheme="majorBidi"/>
          <w:sz w:val="24"/>
          <w:szCs w:val="24"/>
          <w:lang w:val="es-ES"/>
        </w:rPr>
        <w:t xml:space="preserve">Comisión 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>nacional para</w:t>
      </w:r>
      <w:r w:rsidR="000E53A7">
        <w:rPr>
          <w:rFonts w:asciiTheme="majorBidi" w:hAnsiTheme="majorBidi" w:cstheme="majorBidi"/>
          <w:sz w:val="24"/>
          <w:szCs w:val="24"/>
          <w:lang w:val="es-ES"/>
        </w:rPr>
        <w:t xml:space="preserve"> la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protección de 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 xml:space="preserve">los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datos 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 xml:space="preserve">de carácter personal, 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>relativa al trat</w:t>
      </w:r>
      <w:r w:rsidR="00630481">
        <w:rPr>
          <w:rFonts w:asciiTheme="majorBidi" w:hAnsiTheme="majorBidi" w:cstheme="majorBidi"/>
          <w:sz w:val="24"/>
          <w:szCs w:val="24"/>
          <w:lang w:val="es-ES"/>
        </w:rPr>
        <w:t>amiento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 xml:space="preserve"> de los datos personales utilizad</w:t>
      </w:r>
      <w:r w:rsidR="00B26263">
        <w:rPr>
          <w:rFonts w:asciiTheme="majorBidi" w:hAnsiTheme="majorBidi" w:cstheme="majorBidi"/>
          <w:sz w:val="24"/>
          <w:szCs w:val="24"/>
          <w:lang w:val="es-ES"/>
        </w:rPr>
        <w:t>os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por los partidos políticos, sus uniones o sus </w:t>
      </w:r>
      <w:r w:rsidR="000A46F5" w:rsidRPr="00D33D91">
        <w:rPr>
          <w:rFonts w:asciiTheme="majorBidi" w:hAnsiTheme="majorBidi" w:cstheme="majorBidi"/>
          <w:sz w:val="24"/>
          <w:szCs w:val="24"/>
          <w:lang w:val="es-ES"/>
        </w:rPr>
        <w:t>alianza</w:t>
      </w:r>
      <w:r w:rsidR="000E53A7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0A46F5" w:rsidRPr="00D33D91">
        <w:rPr>
          <w:rFonts w:asciiTheme="majorBidi" w:hAnsiTheme="majorBidi" w:cstheme="majorBidi"/>
          <w:sz w:val="24"/>
          <w:szCs w:val="24"/>
          <w:lang w:val="es-ES"/>
        </w:rPr>
        <w:t>, las organizaciones profesionales y sindicales, los electos o candidatos a funciones electivas con fines de comunicación política.</w:t>
      </w:r>
    </w:p>
    <w:p w:rsidR="000A46F5" w:rsidRPr="00B36393" w:rsidRDefault="00B36393" w:rsidP="0059112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</w:pPr>
      <w:r w:rsidRPr="00B3639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A</w:t>
      </w:r>
      <w:r w:rsidR="000A46F5" w:rsidRPr="00B3639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l Gobierno</w:t>
      </w:r>
    </w:p>
    <w:p w:rsidR="000A46F5" w:rsidRPr="00D33D91" w:rsidRDefault="000A46F5" w:rsidP="0059112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Establecer oficinas temporales dentro de las cárceles para registrar los detenidos que </w:t>
      </w:r>
      <w:r w:rsidR="00591123">
        <w:rPr>
          <w:rFonts w:asciiTheme="majorBidi" w:hAnsiTheme="majorBidi" w:cstheme="majorBidi"/>
          <w:sz w:val="24"/>
          <w:szCs w:val="24"/>
          <w:lang w:val="es-ES"/>
        </w:rPr>
        <w:t>tienen la capacidad de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votar en las listas electorales </w:t>
      </w:r>
    </w:p>
    <w:p w:rsidR="009A5AD3" w:rsidRDefault="000A46F5" w:rsidP="0063048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Proporcionar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>la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asistencia y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 xml:space="preserve">la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>comunicación adecuada</w:t>
      </w:r>
      <w:r w:rsidR="00CC1FFA">
        <w:rPr>
          <w:rFonts w:asciiTheme="majorBidi" w:hAnsiTheme="majorBidi" w:cstheme="majorBidi"/>
          <w:sz w:val="24"/>
          <w:szCs w:val="24"/>
          <w:lang w:val="es-ES"/>
        </w:rPr>
        <w:t>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para 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>facilitar el registro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de las personas con </w:t>
      </w:r>
      <w:r w:rsidR="00B511DF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discapacidad y prever plazos especiales para el registro de los votantes que residen en zonas montañosas y </w:t>
      </w:r>
      <w:r w:rsidR="00630481">
        <w:rPr>
          <w:rFonts w:asciiTheme="majorBidi" w:hAnsiTheme="majorBidi" w:cstheme="majorBidi"/>
          <w:sz w:val="24"/>
          <w:szCs w:val="24"/>
          <w:lang w:val="es-ES"/>
        </w:rPr>
        <w:t>con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difícil acceso</w:t>
      </w:r>
    </w:p>
    <w:p w:rsidR="001C1380" w:rsidRPr="00D33D91" w:rsidRDefault="001C1380" w:rsidP="001C138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0A46F5" w:rsidRDefault="000A46F5" w:rsidP="00630481">
      <w:pPr>
        <w:pStyle w:val="Paragraphedeliste"/>
        <w:numPr>
          <w:ilvl w:val="0"/>
          <w:numId w:val="1"/>
        </w:numPr>
        <w:shd w:val="clear" w:color="auto" w:fill="FFFFFF"/>
        <w:spacing w:before="60" w:after="0" w:line="240" w:lineRule="auto"/>
        <w:ind w:right="18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</w:pP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El CNDH propone </w:t>
      </w:r>
      <w:r w:rsidR="00BB7026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al</w:t>
      </w:r>
      <w:r w:rsidR="00B930E5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ministerio del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Interior emit</w:t>
      </w:r>
      <w:r w:rsidR="00BB7026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ir</w:t>
      </w:r>
      <w:r w:rsidR="004C40F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,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en ocasión de cada proceso electoral</w:t>
      </w:r>
      <w:r w:rsidR="004C40F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,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una circular a los representantes de la administración territorial que recuerde la aplicación del Dahir Nº 1-58-377 del 15</w:t>
      </w:r>
      <w:r w:rsidR="00B471E8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de noviembre de 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1958 (relativo a las reuniones públicas) en l</w:t>
      </w:r>
      <w:r w:rsidR="001C1380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o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s </w:t>
      </w:r>
      <w:r w:rsidR="001C1380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mítines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que llamen </w:t>
      </w:r>
      <w:r w:rsidR="00CC1FFA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>al boicot de</w:t>
      </w:r>
      <w:r w:rsidRPr="00D33D91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 las elecciones.</w:t>
      </w:r>
    </w:p>
    <w:p w:rsidR="001C1380" w:rsidRPr="00D33D91" w:rsidRDefault="001C1380" w:rsidP="001C1380">
      <w:pPr>
        <w:pStyle w:val="Paragraphedeliste"/>
        <w:shd w:val="clear" w:color="auto" w:fill="FFFFFF"/>
        <w:spacing w:before="60" w:after="0" w:line="240" w:lineRule="auto"/>
        <w:ind w:right="18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</w:pPr>
    </w:p>
    <w:p w:rsidR="00CC1FFA" w:rsidRDefault="000A46F5" w:rsidP="004C40F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Programar las operaciones excepcionales </w:t>
      </w:r>
      <w:r w:rsidR="001C1380">
        <w:rPr>
          <w:rFonts w:asciiTheme="majorBidi" w:hAnsiTheme="majorBidi" w:cstheme="majorBidi"/>
          <w:sz w:val="24"/>
          <w:szCs w:val="24"/>
          <w:lang w:val="es-ES"/>
        </w:rPr>
        <w:t>para la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inscripción en 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>las listas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electoral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>es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1C1380">
        <w:rPr>
          <w:rFonts w:asciiTheme="majorBidi" w:hAnsiTheme="majorBidi" w:cstheme="majorBidi"/>
          <w:sz w:val="24"/>
          <w:szCs w:val="24"/>
          <w:lang w:val="es-ES"/>
        </w:rPr>
        <w:t xml:space="preserve">conforme a </w:t>
      </w:r>
      <w:r w:rsidR="0032233D">
        <w:rPr>
          <w:rFonts w:asciiTheme="majorBidi" w:hAnsiTheme="majorBidi" w:cstheme="majorBidi"/>
          <w:sz w:val="24"/>
          <w:szCs w:val="24"/>
          <w:lang w:val="es-ES"/>
        </w:rPr>
        <w:t xml:space="preserve">una agenda 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>que permit</w:t>
      </w:r>
      <w:r w:rsidR="004C40F1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a</w:t>
      </w:r>
      <w:r w:rsidR="009766C3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los nuevos inscritos </w:t>
      </w:r>
      <w:r w:rsidR="001C1380">
        <w:rPr>
          <w:rFonts w:asciiTheme="majorBidi" w:hAnsiTheme="majorBidi" w:cstheme="majorBidi"/>
          <w:sz w:val="24"/>
          <w:szCs w:val="24"/>
          <w:lang w:val="es-ES"/>
        </w:rPr>
        <w:t>presentar</w:t>
      </w:r>
      <w:r w:rsidR="009766C3" w:rsidRPr="00D33D91">
        <w:rPr>
          <w:rFonts w:asciiTheme="majorBidi" w:hAnsiTheme="majorBidi" w:cstheme="majorBidi"/>
          <w:sz w:val="24"/>
          <w:szCs w:val="24"/>
          <w:lang w:val="es-ES"/>
        </w:rPr>
        <w:t xml:space="preserve"> sus candidaturas </w:t>
      </w:r>
      <w:r w:rsidR="00332E97" w:rsidRPr="00D33D91">
        <w:rPr>
          <w:rFonts w:asciiTheme="majorBidi" w:hAnsiTheme="majorBidi" w:cstheme="majorBidi"/>
          <w:sz w:val="24"/>
          <w:szCs w:val="24"/>
          <w:lang w:val="es-ES"/>
        </w:rPr>
        <w:t xml:space="preserve">a titulo de la operación electoral </w:t>
      </w:r>
      <w:r w:rsidR="004C40F1">
        <w:rPr>
          <w:rFonts w:asciiTheme="majorBidi" w:hAnsiTheme="majorBidi" w:cstheme="majorBidi"/>
          <w:sz w:val="24"/>
          <w:szCs w:val="24"/>
          <w:lang w:val="es-ES"/>
        </w:rPr>
        <w:t>correspondiente</w:t>
      </w:r>
    </w:p>
    <w:p w:rsidR="001C1380" w:rsidRDefault="001C1380" w:rsidP="001C138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6B2C28" w:rsidRPr="00CC1FFA" w:rsidRDefault="006B2C28" w:rsidP="00BB70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CC1FFA">
        <w:rPr>
          <w:rFonts w:asciiTheme="majorBidi" w:eastAsia="Times New Roman" w:hAnsiTheme="majorBidi" w:cstheme="majorBidi"/>
          <w:color w:val="222222"/>
          <w:sz w:val="24"/>
          <w:szCs w:val="24"/>
          <w:lang w:val="es-ES" w:eastAsia="fr-FR"/>
        </w:rPr>
        <w:t xml:space="preserve">Garantizar, por los medios audiovisuales públicos, </w:t>
      </w:r>
      <w:r w:rsidRPr="00CC1FFA">
        <w:rPr>
          <w:rFonts w:asciiTheme="majorBidi" w:hAnsiTheme="majorBidi" w:cstheme="majorBidi"/>
          <w:sz w:val="24"/>
          <w:szCs w:val="24"/>
          <w:lang w:val="es-ES"/>
        </w:rPr>
        <w:t xml:space="preserve">la traducción de todas las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 xml:space="preserve">comunicaciones </w:t>
      </w:r>
      <w:r w:rsidRPr="00CC1FFA">
        <w:rPr>
          <w:rFonts w:asciiTheme="majorBidi" w:hAnsiTheme="majorBidi" w:cstheme="majorBidi"/>
          <w:sz w:val="24"/>
          <w:szCs w:val="24"/>
          <w:lang w:val="es-ES"/>
        </w:rPr>
        <w:t>electorales en el lenguaje de signos</w:t>
      </w:r>
    </w:p>
    <w:p w:rsidR="006B2C28" w:rsidRPr="00B930E5" w:rsidRDefault="006B2C28" w:rsidP="00B930E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32233D" w:rsidRDefault="00B930E5" w:rsidP="00BB70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Seguir con la </w:t>
      </w:r>
      <w:r w:rsidR="001C1380" w:rsidRPr="0032233D">
        <w:rPr>
          <w:rFonts w:asciiTheme="majorBidi" w:hAnsiTheme="majorBidi" w:cstheme="majorBidi"/>
          <w:sz w:val="24"/>
          <w:szCs w:val="24"/>
          <w:lang w:val="es-ES"/>
        </w:rPr>
        <w:t>generalización</w:t>
      </w: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1C1380" w:rsidRPr="0032233D">
        <w:rPr>
          <w:rFonts w:asciiTheme="majorBidi" w:hAnsiTheme="majorBidi" w:cstheme="majorBidi"/>
          <w:sz w:val="24"/>
          <w:szCs w:val="24"/>
          <w:lang w:val="es-ES"/>
        </w:rPr>
        <w:t xml:space="preserve">del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>documento nacional de identidad</w:t>
      </w:r>
      <w:r w:rsidR="004C40F1">
        <w:rPr>
          <w:rFonts w:asciiTheme="majorBidi" w:hAnsiTheme="majorBidi" w:cstheme="majorBidi"/>
          <w:sz w:val="24"/>
          <w:szCs w:val="24"/>
          <w:lang w:val="es-ES"/>
        </w:rPr>
        <w:t xml:space="preserve"> (DNI)</w:t>
      </w: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32233D" w:rsidRPr="0032233D" w:rsidRDefault="0032233D" w:rsidP="0032233D">
      <w:pPr>
        <w:pStyle w:val="Paragraphedeliste"/>
        <w:rPr>
          <w:rFonts w:asciiTheme="majorBidi" w:hAnsiTheme="majorBidi" w:cstheme="majorBidi"/>
          <w:sz w:val="24"/>
          <w:szCs w:val="24"/>
          <w:lang w:val="es-ES"/>
        </w:rPr>
      </w:pPr>
    </w:p>
    <w:p w:rsidR="00D33D91" w:rsidRPr="0032233D" w:rsidRDefault="006B2C28" w:rsidP="00BB70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Mejorar la legibilidad y la trazabilidad de los boletines de voto (número de serie, dispositivo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>para</w:t>
      </w: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4C40F1">
        <w:rPr>
          <w:rFonts w:asciiTheme="majorBidi" w:hAnsiTheme="majorBidi" w:cstheme="majorBidi"/>
          <w:sz w:val="24"/>
          <w:szCs w:val="24"/>
          <w:lang w:val="es-ES"/>
        </w:rPr>
        <w:t xml:space="preserve">la </w:t>
      </w: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lectura de los boletines </w:t>
      </w:r>
      <w:r w:rsidR="00BB7026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B26263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2233D">
        <w:rPr>
          <w:rFonts w:asciiTheme="majorBidi" w:hAnsiTheme="majorBidi" w:cstheme="majorBidi"/>
          <w:sz w:val="24"/>
          <w:szCs w:val="24"/>
          <w:lang w:val="es-ES"/>
        </w:rPr>
        <w:t xml:space="preserve">las personas con deficiencia </w:t>
      </w:r>
      <w:r w:rsidR="00D33D91" w:rsidRPr="0032233D">
        <w:rPr>
          <w:rFonts w:asciiTheme="majorBidi" w:hAnsiTheme="majorBidi" w:cstheme="majorBidi"/>
          <w:sz w:val="24"/>
          <w:szCs w:val="24"/>
          <w:lang w:val="es-ES"/>
        </w:rPr>
        <w:t xml:space="preserve">visual o </w:t>
      </w:r>
      <w:r w:rsidR="00482BD2">
        <w:rPr>
          <w:rFonts w:asciiTheme="majorBidi" w:hAnsiTheme="majorBidi" w:cstheme="majorBidi"/>
          <w:sz w:val="24"/>
          <w:szCs w:val="24"/>
          <w:lang w:val="es-ES"/>
        </w:rPr>
        <w:t xml:space="preserve">personas </w:t>
      </w:r>
      <w:r w:rsidR="00D33D91" w:rsidRPr="0032233D">
        <w:rPr>
          <w:rFonts w:asciiTheme="majorBidi" w:hAnsiTheme="majorBidi" w:cstheme="majorBidi"/>
          <w:sz w:val="24"/>
          <w:szCs w:val="24"/>
          <w:lang w:val="es-ES"/>
        </w:rPr>
        <w:t>ciegas</w:t>
      </w:r>
      <w:r w:rsidR="004C40F1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D33D91" w:rsidRPr="0032233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1C1380" w:rsidRPr="00D33D91" w:rsidRDefault="001C1380" w:rsidP="001C138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D33D91" w:rsidRPr="00B930E5" w:rsidRDefault="00B930E5" w:rsidP="0063048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Prever urnas electorales </w:t>
      </w:r>
      <w:r w:rsidR="00630481">
        <w:rPr>
          <w:rFonts w:asciiTheme="majorBidi" w:hAnsiTheme="majorBidi" w:cstheme="majorBidi"/>
          <w:sz w:val="24"/>
          <w:szCs w:val="24"/>
          <w:lang w:val="es-ES"/>
        </w:rPr>
        <w:t xml:space="preserve">distintas </w:t>
      </w:r>
      <w:r w:rsidR="00CC1FFA">
        <w:rPr>
          <w:rFonts w:asciiTheme="majorBidi" w:hAnsiTheme="majorBidi" w:cstheme="majorBidi"/>
          <w:sz w:val="24"/>
          <w:szCs w:val="24"/>
          <w:lang w:val="es-ES"/>
        </w:rPr>
        <w:t>si se organizan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varias operaciones electorales en la misma fecha.</w:t>
      </w:r>
    </w:p>
    <w:p w:rsidR="006B2C28" w:rsidRPr="00D33D91" w:rsidRDefault="006B2C28" w:rsidP="00D33D91">
      <w:pPr>
        <w:ind w:left="360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D33D9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sectPr w:rsidR="006B2C28" w:rsidRPr="00D33D91" w:rsidSect="0041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70F"/>
    <w:multiLevelType w:val="hybridMultilevel"/>
    <w:tmpl w:val="E436A734"/>
    <w:lvl w:ilvl="0" w:tplc="02466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052"/>
    <w:rsid w:val="000A3EFE"/>
    <w:rsid w:val="000A46F5"/>
    <w:rsid w:val="000E53A7"/>
    <w:rsid w:val="001C1380"/>
    <w:rsid w:val="002C045A"/>
    <w:rsid w:val="0032233D"/>
    <w:rsid w:val="00332E97"/>
    <w:rsid w:val="00415757"/>
    <w:rsid w:val="00482BD2"/>
    <w:rsid w:val="004C40F1"/>
    <w:rsid w:val="00591123"/>
    <w:rsid w:val="00630481"/>
    <w:rsid w:val="006B2C28"/>
    <w:rsid w:val="006B43CE"/>
    <w:rsid w:val="00755733"/>
    <w:rsid w:val="00906052"/>
    <w:rsid w:val="009766C3"/>
    <w:rsid w:val="009A5AD3"/>
    <w:rsid w:val="00A16971"/>
    <w:rsid w:val="00AE0FAA"/>
    <w:rsid w:val="00B26263"/>
    <w:rsid w:val="00B36393"/>
    <w:rsid w:val="00B471E8"/>
    <w:rsid w:val="00B511DF"/>
    <w:rsid w:val="00B930E5"/>
    <w:rsid w:val="00BB7026"/>
    <w:rsid w:val="00CB2AD9"/>
    <w:rsid w:val="00CC1FFA"/>
    <w:rsid w:val="00D33D91"/>
    <w:rsid w:val="00ED2F61"/>
    <w:rsid w:val="00ED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73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32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96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2" w:color="auto"/>
            <w:bottom w:val="none" w:sz="0" w:space="0" w:color="auto"/>
            <w:right w:val="none" w:sz="0" w:space="0" w:color="auto"/>
          </w:divBdr>
          <w:divsChild>
            <w:div w:id="786243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1287">
                  <w:marLeft w:val="0"/>
                  <w:marRight w:val="1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m.sadki</dc:creator>
  <cp:lastModifiedBy>m.sadki</cp:lastModifiedBy>
  <cp:revision>2</cp:revision>
  <cp:lastPrinted>2015-09-06T17:00:00Z</cp:lastPrinted>
  <dcterms:created xsi:type="dcterms:W3CDTF">2015-09-06T19:12:00Z</dcterms:created>
  <dcterms:modified xsi:type="dcterms:W3CDTF">2015-09-06T19:12:00Z</dcterms:modified>
</cp:coreProperties>
</file>