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8A" w:rsidRDefault="00501D8A" w:rsidP="00180D1A">
      <w:pPr>
        <w:tabs>
          <w:tab w:val="left" w:pos="3297"/>
        </w:tabs>
        <w:bidi/>
        <w:jc w:val="center"/>
        <w:rPr>
          <w:rFonts w:cs="Times New Roman"/>
          <w:b/>
          <w:bCs/>
          <w:sz w:val="28"/>
          <w:szCs w:val="28"/>
          <w:rtl/>
        </w:rPr>
      </w:pPr>
    </w:p>
    <w:p w:rsidR="00CA61FC" w:rsidRDefault="00CA61FC" w:rsidP="00CA61FC">
      <w:pPr>
        <w:tabs>
          <w:tab w:val="left" w:pos="3297"/>
        </w:tabs>
        <w:bidi/>
        <w:jc w:val="center"/>
        <w:rPr>
          <w:rFonts w:cs="Times New Roman"/>
          <w:b/>
          <w:bCs/>
          <w:sz w:val="28"/>
          <w:szCs w:val="28"/>
          <w:rtl/>
        </w:rPr>
      </w:pPr>
    </w:p>
    <w:p w:rsidR="00CA61FC" w:rsidRDefault="00CA61FC" w:rsidP="00CA61FC">
      <w:pPr>
        <w:tabs>
          <w:tab w:val="left" w:pos="3297"/>
        </w:tabs>
        <w:bidi/>
        <w:jc w:val="center"/>
        <w:rPr>
          <w:rFonts w:cs="Times New Roman"/>
          <w:b/>
          <w:bCs/>
          <w:sz w:val="28"/>
          <w:szCs w:val="28"/>
          <w:rtl/>
        </w:rPr>
      </w:pPr>
    </w:p>
    <w:p w:rsidR="00501D8A" w:rsidRDefault="00501D8A" w:rsidP="00501D8A">
      <w:pPr>
        <w:tabs>
          <w:tab w:val="left" w:pos="3297"/>
        </w:tabs>
        <w:bidi/>
        <w:jc w:val="center"/>
        <w:rPr>
          <w:rFonts w:cs="Times New Roman"/>
          <w:b/>
          <w:bCs/>
          <w:sz w:val="28"/>
          <w:szCs w:val="28"/>
          <w:rtl/>
        </w:rPr>
      </w:pPr>
    </w:p>
    <w:p w:rsidR="00501D8A" w:rsidRDefault="00501D8A" w:rsidP="00501D8A">
      <w:pPr>
        <w:tabs>
          <w:tab w:val="left" w:pos="3297"/>
        </w:tabs>
        <w:bidi/>
        <w:jc w:val="center"/>
        <w:rPr>
          <w:rFonts w:cs="Times New Roman"/>
          <w:b/>
          <w:bCs/>
          <w:sz w:val="28"/>
          <w:szCs w:val="28"/>
          <w:rtl/>
        </w:rPr>
      </w:pPr>
    </w:p>
    <w:p w:rsidR="00501D8A" w:rsidRDefault="00501D8A" w:rsidP="00501D8A">
      <w:pPr>
        <w:tabs>
          <w:tab w:val="left" w:pos="3297"/>
        </w:tabs>
        <w:bidi/>
        <w:jc w:val="center"/>
        <w:rPr>
          <w:rFonts w:cs="Times New Roman"/>
          <w:b/>
          <w:bCs/>
          <w:sz w:val="28"/>
          <w:szCs w:val="28"/>
          <w:rtl/>
        </w:rPr>
      </w:pPr>
      <w:r>
        <w:rPr>
          <w:rFonts w:ascii="Sakkal Majalla" w:hAnsi="Sakkal Majalla" w:cs="Sakkal Majalla" w:hint="cs"/>
          <w:noProof/>
          <w:color w:val="000000"/>
          <w:sz w:val="28"/>
          <w:szCs w:val="28"/>
          <w:rtl/>
          <w:lang w:eastAsia="fr-FR"/>
        </w:rPr>
        <w:drawing>
          <wp:anchor distT="0" distB="0" distL="114300" distR="114300" simplePos="0" relativeHeight="251659264" behindDoc="0" locked="0" layoutInCell="1" allowOverlap="1">
            <wp:simplePos x="0" y="0"/>
            <wp:positionH relativeFrom="column">
              <wp:posOffset>1055370</wp:posOffset>
            </wp:positionH>
            <wp:positionV relativeFrom="paragraph">
              <wp:posOffset>18415</wp:posOffset>
            </wp:positionV>
            <wp:extent cx="3619500" cy="1543050"/>
            <wp:effectExtent l="0" t="0" r="0" b="0"/>
            <wp:wrapSquare wrapText="bothSides"/>
            <wp:docPr id="2" name="Image 8" descr="http://festival-gnaoua.net/site_media/photos/droitsdelhomme-01.jpg.310x133_q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festival-gnaoua.net/site_media/photos/droitsdelhomme-01.jpg.310x133_q85.jpg"/>
                    <pic:cNvPicPr>
                      <a:picLocks noChangeAspect="1" noChangeArrowheads="1"/>
                    </pic:cNvPicPr>
                  </pic:nvPicPr>
                  <pic:blipFill>
                    <a:blip r:embed="rId7"/>
                    <a:srcRect/>
                    <a:stretch>
                      <a:fillRect/>
                    </a:stretch>
                  </pic:blipFill>
                  <pic:spPr bwMode="auto">
                    <a:xfrm>
                      <a:off x="0" y="0"/>
                      <a:ext cx="3619500" cy="1543050"/>
                    </a:xfrm>
                    <a:prstGeom prst="rect">
                      <a:avLst/>
                    </a:prstGeom>
                    <a:noFill/>
                    <a:ln w="9525">
                      <a:noFill/>
                      <a:miter lim="800000"/>
                      <a:headEnd/>
                      <a:tailEnd/>
                    </a:ln>
                  </pic:spPr>
                </pic:pic>
              </a:graphicData>
            </a:graphic>
          </wp:anchor>
        </w:drawing>
      </w:r>
    </w:p>
    <w:p w:rsidR="00501D8A" w:rsidRDefault="00501D8A" w:rsidP="00501D8A">
      <w:pPr>
        <w:tabs>
          <w:tab w:val="left" w:pos="3297"/>
        </w:tabs>
        <w:bidi/>
        <w:jc w:val="center"/>
        <w:rPr>
          <w:rFonts w:cs="Times New Roman"/>
          <w:b/>
          <w:bCs/>
          <w:sz w:val="28"/>
          <w:szCs w:val="28"/>
          <w:rtl/>
        </w:rPr>
      </w:pPr>
    </w:p>
    <w:p w:rsidR="00501D8A" w:rsidRDefault="00501D8A" w:rsidP="00501D8A">
      <w:pPr>
        <w:tabs>
          <w:tab w:val="left" w:pos="3297"/>
        </w:tabs>
        <w:bidi/>
        <w:jc w:val="center"/>
        <w:rPr>
          <w:rFonts w:cs="Times New Roman"/>
          <w:b/>
          <w:bCs/>
          <w:sz w:val="28"/>
          <w:szCs w:val="28"/>
          <w:rtl/>
        </w:rPr>
      </w:pPr>
    </w:p>
    <w:p w:rsidR="00501D8A" w:rsidRDefault="00501D8A" w:rsidP="00501D8A">
      <w:pPr>
        <w:tabs>
          <w:tab w:val="left" w:pos="3297"/>
        </w:tabs>
        <w:bidi/>
        <w:jc w:val="center"/>
        <w:rPr>
          <w:rFonts w:cs="Times New Roman"/>
          <w:b/>
          <w:bCs/>
          <w:sz w:val="28"/>
          <w:szCs w:val="28"/>
          <w:rtl/>
        </w:rPr>
      </w:pPr>
    </w:p>
    <w:p w:rsidR="00501D8A" w:rsidRDefault="00501D8A" w:rsidP="00501D8A">
      <w:pPr>
        <w:tabs>
          <w:tab w:val="left" w:pos="3297"/>
        </w:tabs>
        <w:bidi/>
        <w:jc w:val="center"/>
        <w:rPr>
          <w:rFonts w:cs="Times New Roman"/>
          <w:b/>
          <w:bCs/>
          <w:sz w:val="28"/>
          <w:szCs w:val="28"/>
          <w:rtl/>
        </w:rPr>
      </w:pPr>
    </w:p>
    <w:p w:rsidR="00AF40CB" w:rsidRPr="00501D8A" w:rsidRDefault="00AF40CB" w:rsidP="00501D8A">
      <w:pPr>
        <w:tabs>
          <w:tab w:val="left" w:pos="3297"/>
        </w:tabs>
        <w:bidi/>
        <w:spacing w:before="240" w:after="240" w:line="240" w:lineRule="auto"/>
        <w:jc w:val="center"/>
        <w:rPr>
          <w:rFonts w:ascii="Arabic Typesetting" w:hAnsi="Arabic Typesetting" w:cs="Arabic Typesetting"/>
          <w:b/>
          <w:bCs/>
          <w:sz w:val="52"/>
          <w:szCs w:val="52"/>
          <w:rtl/>
        </w:rPr>
      </w:pPr>
      <w:r w:rsidRPr="00501D8A">
        <w:rPr>
          <w:rFonts w:ascii="Arabic Typesetting" w:hAnsi="Arabic Typesetting" w:cs="Arabic Typesetting"/>
          <w:b/>
          <w:bCs/>
          <w:sz w:val="52"/>
          <w:szCs w:val="52"/>
          <w:rtl/>
        </w:rPr>
        <w:t>كلمة رئيس المجلس الوطني لحقوق الإنسان السيد إدريس اليزمي</w:t>
      </w:r>
    </w:p>
    <w:p w:rsidR="00AF40CB" w:rsidRPr="00501D8A" w:rsidRDefault="00AF40CB" w:rsidP="00501D8A">
      <w:pPr>
        <w:tabs>
          <w:tab w:val="left" w:pos="3297"/>
        </w:tabs>
        <w:bidi/>
        <w:spacing w:before="240" w:after="240" w:line="240" w:lineRule="auto"/>
        <w:jc w:val="center"/>
        <w:rPr>
          <w:rFonts w:ascii="Arabic Typesetting" w:hAnsi="Arabic Typesetting" w:cs="Arabic Typesetting"/>
          <w:b/>
          <w:bCs/>
          <w:sz w:val="52"/>
          <w:szCs w:val="52"/>
          <w:rtl/>
        </w:rPr>
      </w:pPr>
      <w:r w:rsidRPr="00501D8A">
        <w:rPr>
          <w:rFonts w:ascii="Arabic Typesetting" w:hAnsi="Arabic Typesetting" w:cs="Arabic Typesetting"/>
          <w:b/>
          <w:bCs/>
          <w:sz w:val="52"/>
          <w:szCs w:val="52"/>
          <w:rtl/>
        </w:rPr>
        <w:t>في اللقاء الدراسي حول:</w:t>
      </w:r>
    </w:p>
    <w:p w:rsidR="00AF40CB" w:rsidRPr="00501D8A" w:rsidRDefault="00AF40CB" w:rsidP="00501D8A">
      <w:pPr>
        <w:tabs>
          <w:tab w:val="left" w:pos="3297"/>
        </w:tabs>
        <w:bidi/>
        <w:spacing w:before="240" w:after="240" w:line="240" w:lineRule="auto"/>
        <w:jc w:val="center"/>
        <w:rPr>
          <w:rFonts w:ascii="Arabic Typesetting" w:hAnsi="Arabic Typesetting" w:cs="Arabic Typesetting"/>
          <w:b/>
          <w:bCs/>
          <w:sz w:val="44"/>
          <w:szCs w:val="44"/>
        </w:rPr>
      </w:pPr>
      <w:r w:rsidRPr="00501D8A">
        <w:rPr>
          <w:rFonts w:ascii="Arabic Typesetting" w:hAnsi="Arabic Typesetting" w:cs="Arabic Typesetting"/>
          <w:b/>
          <w:bCs/>
          <w:color w:val="548DD4" w:themeColor="text2" w:themeTint="99"/>
          <w:sz w:val="56"/>
          <w:szCs w:val="56"/>
          <w:rtl/>
        </w:rPr>
        <w:t>القانون الجنائي والسياسة الجنائية: فلسفة المشرع وواقع التنفيذ</w:t>
      </w:r>
    </w:p>
    <w:p w:rsidR="00AF40CB" w:rsidRPr="00501D8A" w:rsidRDefault="00AF40CB" w:rsidP="00501D8A">
      <w:pPr>
        <w:tabs>
          <w:tab w:val="left" w:pos="3297"/>
        </w:tabs>
        <w:bidi/>
        <w:spacing w:before="240" w:after="240" w:line="240" w:lineRule="auto"/>
        <w:jc w:val="center"/>
        <w:rPr>
          <w:rFonts w:ascii="Arabic Typesetting" w:hAnsi="Arabic Typesetting" w:cs="Arabic Typesetting"/>
          <w:b/>
          <w:bCs/>
          <w:sz w:val="52"/>
          <w:szCs w:val="52"/>
          <w:rtl/>
        </w:rPr>
      </w:pPr>
      <w:r w:rsidRPr="00501D8A">
        <w:rPr>
          <w:rFonts w:ascii="Arabic Typesetting" w:hAnsi="Arabic Typesetting" w:cs="Arabic Typesetting"/>
          <w:b/>
          <w:bCs/>
          <w:sz w:val="52"/>
          <w:szCs w:val="52"/>
          <w:rtl/>
        </w:rPr>
        <w:t>المنظم من لدن فريق العدالة والتنمية بمجلس النواب</w:t>
      </w:r>
    </w:p>
    <w:p w:rsidR="00AF40CB" w:rsidRPr="00501D8A" w:rsidRDefault="00AF40CB" w:rsidP="00501D8A">
      <w:pPr>
        <w:tabs>
          <w:tab w:val="left" w:pos="3297"/>
        </w:tabs>
        <w:bidi/>
        <w:spacing w:before="240" w:after="240" w:line="240" w:lineRule="auto"/>
        <w:jc w:val="center"/>
        <w:rPr>
          <w:rFonts w:ascii="Arabic Typesetting" w:hAnsi="Arabic Typesetting" w:cs="Arabic Typesetting"/>
          <w:b/>
          <w:bCs/>
          <w:sz w:val="52"/>
          <w:szCs w:val="52"/>
          <w:rtl/>
        </w:rPr>
      </w:pPr>
      <w:r w:rsidRPr="00501D8A">
        <w:rPr>
          <w:rFonts w:ascii="Arabic Typesetting" w:hAnsi="Arabic Typesetting" w:cs="Arabic Typesetting"/>
          <w:b/>
          <w:bCs/>
          <w:color w:val="E36C0A" w:themeColor="accent6" w:themeShade="BF"/>
          <w:sz w:val="52"/>
          <w:szCs w:val="52"/>
          <w:rtl/>
        </w:rPr>
        <w:t>يوم الثلاثاء 8 ماي 2018</w:t>
      </w:r>
    </w:p>
    <w:p w:rsidR="00AF40CB" w:rsidRPr="00501D8A" w:rsidRDefault="00AF40CB" w:rsidP="00501D8A">
      <w:pPr>
        <w:tabs>
          <w:tab w:val="left" w:pos="3297"/>
        </w:tabs>
        <w:bidi/>
        <w:jc w:val="both"/>
        <w:rPr>
          <w:rFonts w:ascii="Arabic Typesetting" w:hAnsi="Arabic Typesetting" w:cs="Arabic Typesetting"/>
          <w:sz w:val="44"/>
          <w:szCs w:val="44"/>
          <w:rtl/>
        </w:rPr>
      </w:pPr>
    </w:p>
    <w:p w:rsidR="00501D8A" w:rsidRPr="00501D8A" w:rsidRDefault="00501D8A" w:rsidP="00501D8A">
      <w:pPr>
        <w:tabs>
          <w:tab w:val="left" w:pos="3297"/>
        </w:tabs>
        <w:bidi/>
        <w:jc w:val="both"/>
        <w:rPr>
          <w:rFonts w:ascii="Arabic Typesetting" w:hAnsi="Arabic Typesetting" w:cs="Arabic Typesetting"/>
          <w:sz w:val="44"/>
          <w:szCs w:val="44"/>
          <w:rtl/>
        </w:rPr>
      </w:pPr>
    </w:p>
    <w:p w:rsidR="00501D8A" w:rsidRPr="00501D8A" w:rsidRDefault="00501D8A" w:rsidP="00501D8A">
      <w:pPr>
        <w:tabs>
          <w:tab w:val="left" w:pos="3297"/>
        </w:tabs>
        <w:bidi/>
        <w:jc w:val="both"/>
        <w:rPr>
          <w:rFonts w:ascii="Arabic Typesetting" w:hAnsi="Arabic Typesetting" w:cs="Arabic Typesetting"/>
          <w:sz w:val="44"/>
          <w:szCs w:val="44"/>
          <w:rtl/>
        </w:rPr>
      </w:pPr>
    </w:p>
    <w:p w:rsidR="00501D8A" w:rsidRPr="00501D8A" w:rsidRDefault="00501D8A" w:rsidP="00501D8A">
      <w:pPr>
        <w:tabs>
          <w:tab w:val="left" w:pos="3297"/>
        </w:tabs>
        <w:bidi/>
        <w:jc w:val="both"/>
        <w:rPr>
          <w:rFonts w:ascii="Arabic Typesetting" w:hAnsi="Arabic Typesetting" w:cs="Arabic Typesetting"/>
          <w:sz w:val="44"/>
          <w:szCs w:val="44"/>
          <w:rtl/>
        </w:rPr>
      </w:pPr>
    </w:p>
    <w:p w:rsidR="00501D8A" w:rsidRPr="00501D8A" w:rsidRDefault="00501D8A" w:rsidP="00501D8A">
      <w:pPr>
        <w:tabs>
          <w:tab w:val="left" w:pos="3297"/>
        </w:tabs>
        <w:bidi/>
        <w:jc w:val="both"/>
        <w:rPr>
          <w:rFonts w:ascii="Arabic Typesetting" w:hAnsi="Arabic Typesetting" w:cs="Arabic Typesetting"/>
          <w:sz w:val="44"/>
          <w:szCs w:val="44"/>
          <w:rtl/>
        </w:rPr>
      </w:pP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lastRenderedPageBreak/>
        <w:t xml:space="preserve">السيد رئيس مجلس النواب </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السيد رئيس مجلس المستشارين</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السيد وزير الدولة المكلف بحقوق الإنسان</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السيد وزير</w:t>
      </w:r>
      <w:r w:rsidR="00ED3E24" w:rsidRPr="00501D8A">
        <w:rPr>
          <w:rFonts w:ascii="Arabic Typesetting" w:hAnsi="Arabic Typesetting" w:cs="Arabic Typesetting"/>
          <w:sz w:val="44"/>
          <w:szCs w:val="44"/>
          <w:rtl/>
        </w:rPr>
        <w:t xml:space="preserve"> العدل</w:t>
      </w:r>
    </w:p>
    <w:p w:rsidR="008937FC" w:rsidRPr="00501D8A" w:rsidRDefault="008937FC" w:rsidP="00C41AB3">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 xml:space="preserve">السيد </w:t>
      </w:r>
      <w:r w:rsidR="00C41AB3">
        <w:rPr>
          <w:rFonts w:ascii="Arabic Typesetting" w:hAnsi="Arabic Typesetting" w:cs="Arabic Typesetting" w:hint="cs"/>
          <w:sz w:val="44"/>
          <w:szCs w:val="44"/>
          <w:rtl/>
        </w:rPr>
        <w:t>ال</w:t>
      </w:r>
      <w:bookmarkStart w:id="0" w:name="_GoBack"/>
      <w:bookmarkEnd w:id="0"/>
      <w:r w:rsidRPr="00501D8A">
        <w:rPr>
          <w:rFonts w:ascii="Arabic Typesetting" w:hAnsi="Arabic Typesetting" w:cs="Arabic Typesetting"/>
          <w:sz w:val="44"/>
          <w:szCs w:val="44"/>
          <w:rtl/>
        </w:rPr>
        <w:t xml:space="preserve">رئيس </w:t>
      </w:r>
      <w:r w:rsidR="00C41AB3">
        <w:rPr>
          <w:rFonts w:ascii="Arabic Typesetting" w:hAnsi="Arabic Typesetting" w:cs="Arabic Typesetting" w:hint="cs"/>
          <w:sz w:val="44"/>
          <w:szCs w:val="44"/>
          <w:rtl/>
        </w:rPr>
        <w:t>المنتدب ل</w:t>
      </w:r>
      <w:r w:rsidRPr="00501D8A">
        <w:rPr>
          <w:rFonts w:ascii="Arabic Typesetting" w:hAnsi="Arabic Typesetting" w:cs="Arabic Typesetting"/>
          <w:sz w:val="44"/>
          <w:szCs w:val="44"/>
          <w:rtl/>
        </w:rPr>
        <w:t>لمجلس الأعلى للسلطة القضائية</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lang w:bidi="ar-MA"/>
        </w:rPr>
        <w:t xml:space="preserve">السيد رئيس </w:t>
      </w:r>
      <w:r w:rsidRPr="00501D8A">
        <w:rPr>
          <w:rFonts w:ascii="Arabic Typesetting" w:hAnsi="Arabic Typesetting" w:cs="Arabic Typesetting"/>
          <w:sz w:val="44"/>
          <w:szCs w:val="44"/>
          <w:rtl/>
        </w:rPr>
        <w:t>النيابة العامة</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السادة رؤساء الفرق البرلمانية بغرفتي البرلمان</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السيد رئيس لجنة العدل والتشريع وحقوق الإنسان</w:t>
      </w:r>
      <w:r w:rsidR="00ED3E24" w:rsidRPr="00501D8A">
        <w:rPr>
          <w:rFonts w:ascii="Arabic Typesetting" w:hAnsi="Arabic Typesetting" w:cs="Arabic Typesetting"/>
          <w:sz w:val="44"/>
          <w:szCs w:val="44"/>
          <w:rtl/>
        </w:rPr>
        <w:t xml:space="preserve"> بمجلس النواب</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السيد رئيس لجنة العدل والتشريع وحقوق الإنسان بمجلس المستشارين</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السادة النواب والمستشارون البرلمانيون</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السادة ممثلو الجمعيات الحقوقية</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أيها السيدات والسادة</w:t>
      </w:r>
    </w:p>
    <w:p w:rsidR="008937FC" w:rsidRPr="00501D8A" w:rsidRDefault="008937FC"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يسعدني أن أتناول الكلمة في افتتاح هذا اللقاء الدراسي الذي ينظمه فريق العدالة والتنمية بمجلس النواب. ولا يفوتني أن أشكر المنظمين على دعوة المجلس الوطني لحقوق الإنسان للمشاركة في هذا اللقاء وعلى المباد</w:t>
      </w:r>
      <w:r w:rsidR="00ED3E24" w:rsidRPr="00501D8A">
        <w:rPr>
          <w:rFonts w:ascii="Arabic Typesetting" w:hAnsi="Arabic Typesetting" w:cs="Arabic Typesetting"/>
          <w:sz w:val="44"/>
          <w:szCs w:val="44"/>
          <w:rtl/>
        </w:rPr>
        <w:t>ر</w:t>
      </w:r>
      <w:r w:rsidRPr="00501D8A">
        <w:rPr>
          <w:rFonts w:ascii="Arabic Typesetting" w:hAnsi="Arabic Typesetting" w:cs="Arabic Typesetting"/>
          <w:sz w:val="44"/>
          <w:szCs w:val="44"/>
          <w:rtl/>
        </w:rPr>
        <w:t>ة إلى تنظيمه.</w:t>
      </w:r>
    </w:p>
    <w:p w:rsidR="00582414" w:rsidRPr="00501D8A" w:rsidRDefault="008937FC"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إن المجلس الوطني لحقوق الإنسان يولي اهتماما خاصا للتشريع الجنائي</w:t>
      </w:r>
      <w:r w:rsidR="0066145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 xml:space="preserve"> بوجه عام</w:t>
      </w:r>
      <w:r w:rsidR="0066145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 xml:space="preserve"> وللقانون الجنائي على وجه الخصوص</w:t>
      </w:r>
      <w:r w:rsidR="00582414" w:rsidRPr="00501D8A">
        <w:rPr>
          <w:rFonts w:ascii="Arabic Typesetting" w:hAnsi="Arabic Typesetting" w:cs="Arabic Typesetting"/>
          <w:sz w:val="44"/>
          <w:szCs w:val="44"/>
          <w:rtl/>
        </w:rPr>
        <w:t>. ويعود هذا الاهتمام بالطبع إلى المهام الموكولة إلى المجلس في نطاق حماية حقوق الإنسان والنهوض بها من جهة، وإلى المكانة التي يحتلها القانون الجنائي ضمن المنظومة القانونية واتصاله الوثيق بالحقوق والحريات، من جهة أخرى.</w:t>
      </w:r>
    </w:p>
    <w:p w:rsidR="00ED3E24" w:rsidRPr="00501D8A" w:rsidRDefault="00582414"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lastRenderedPageBreak/>
        <w:t>فهذا القانون يستمد أهميته، كما لا يخفى عليكم من ك</w:t>
      </w:r>
      <w:r w:rsidR="0066145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و</w:t>
      </w:r>
      <w:r w:rsidR="0066145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ن</w:t>
      </w:r>
      <w:r w:rsidR="0066145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ه يقع في م</w:t>
      </w:r>
      <w:r w:rsidR="0066145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ف</w:t>
      </w:r>
      <w:r w:rsidR="0066145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ص</w:t>
      </w:r>
      <w:r w:rsidR="0066145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ل الحقوق والحريات ويحدد، من خلال فصله الصارم بين الم</w:t>
      </w:r>
      <w:r w:rsidR="0066145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 xml:space="preserve">باح والمحظور، ِزدْ على ذلك أنه يعتبر، للأسباب المذكورة، بمثابة موجه للسلوك الاجتماعي.  </w:t>
      </w:r>
    </w:p>
    <w:p w:rsidR="00ED3E24" w:rsidRPr="00501D8A" w:rsidRDefault="00ED3E24"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ومما يُبْرِز أهميةَ هذا القانون ومكانتَه كَوْنُ الدستور يتضمن جزءا أساسيا من مبادئه وقواعده الأساسية ويرسم توجهاته العامة، من جهة، والحيز الهام الذي يحظى به، من جهة ثانية، ضمن النقاش العمومي حول حماية الحقوق والحريات والنهوض بها، وحول إصلاح منظومة العدالة والارتقاء بها.</w:t>
      </w:r>
    </w:p>
    <w:p w:rsidR="00097CB6" w:rsidRPr="00501D8A" w:rsidRDefault="00097CB6" w:rsidP="00D903C7">
      <w:pPr>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 xml:space="preserve">ويشير المجلس بهذا الخصوص، أن آفاق المراجعة الشاملة للتشريع الجنائي (المادي والمسطري) ينبغي اعتبارها على ضوء المتطلبات </w:t>
      </w:r>
      <w:r w:rsidR="00D44982" w:rsidRPr="00501D8A">
        <w:rPr>
          <w:rFonts w:ascii="Arabic Typesetting" w:hAnsi="Arabic Typesetting" w:cs="Arabic Typesetting"/>
          <w:sz w:val="44"/>
          <w:szCs w:val="44"/>
          <w:rtl/>
        </w:rPr>
        <w:t xml:space="preserve">والفرص </w:t>
      </w:r>
      <w:r w:rsidRPr="00501D8A">
        <w:rPr>
          <w:rFonts w:ascii="Arabic Typesetting" w:hAnsi="Arabic Typesetting" w:cs="Arabic Typesetting"/>
          <w:sz w:val="44"/>
          <w:szCs w:val="44"/>
          <w:rtl/>
        </w:rPr>
        <w:t xml:space="preserve">التالية: </w:t>
      </w:r>
    </w:p>
    <w:p w:rsidR="00097CB6" w:rsidRPr="00501D8A" w:rsidRDefault="00097CB6" w:rsidP="00D903C7">
      <w:pPr>
        <w:numPr>
          <w:ilvl w:val="0"/>
          <w:numId w:val="2"/>
        </w:numPr>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 xml:space="preserve">الدستور ولاسيما التصدير والفصول 20، 22، 23 وكذا الباب السابع منه المتعلق بالسلطة القضائية؛ </w:t>
      </w:r>
    </w:p>
    <w:p w:rsidR="00097CB6" w:rsidRPr="00501D8A" w:rsidRDefault="00097CB6" w:rsidP="00D903C7">
      <w:pPr>
        <w:numPr>
          <w:ilvl w:val="0"/>
          <w:numId w:val="2"/>
        </w:numPr>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توسيع الممارسة الاتفاقية للمغرب (الانضمام إلى البروتوكول الاختياري لاتفاقية مناهضة التعذيب وغيره من ضروب المعاملة أو العقوبة القاسية أو اللاإنسانية أو المهينة)</w:t>
      </w:r>
      <w:r w:rsidR="0032008D" w:rsidRPr="00501D8A">
        <w:rPr>
          <w:rFonts w:ascii="Arabic Typesetting" w:hAnsi="Arabic Typesetting" w:cs="Arabic Typesetting"/>
          <w:sz w:val="44"/>
          <w:szCs w:val="44"/>
          <w:rtl/>
        </w:rPr>
        <w:t>؛</w:t>
      </w:r>
    </w:p>
    <w:p w:rsidR="00097CB6" w:rsidRPr="00501D8A" w:rsidRDefault="00097CB6" w:rsidP="00D903C7">
      <w:pPr>
        <w:numPr>
          <w:ilvl w:val="0"/>
          <w:numId w:val="2"/>
        </w:numPr>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rPr>
        <w:t>التوافق الواسع حول توصيات ميثاق إصلاح منظومة العدالة وخاصة منها تلك المتعلقة بالهدف الاستراتيجي الثالث المعنون "تعزيز</w:t>
      </w:r>
      <w:r w:rsidR="00D44982" w:rsidRPr="00501D8A">
        <w:rPr>
          <w:rFonts w:ascii="Arabic Typesetting" w:hAnsi="Arabic Typesetting" w:cs="Arabic Typesetting"/>
          <w:sz w:val="44"/>
          <w:szCs w:val="44"/>
          <w:rtl/>
        </w:rPr>
        <w:t xml:space="preserve"> حماية القضاء للحقوق والحريات"</w:t>
      </w:r>
      <w:r w:rsidRPr="00501D8A">
        <w:rPr>
          <w:rFonts w:ascii="Arabic Typesetting" w:hAnsi="Arabic Typesetting" w:cs="Arabic Typesetting"/>
          <w:sz w:val="44"/>
          <w:szCs w:val="44"/>
          <w:rtl/>
        </w:rPr>
        <w:footnoteReference w:id="2"/>
      </w:r>
      <w:r w:rsidRPr="00501D8A">
        <w:rPr>
          <w:rFonts w:ascii="Arabic Typesetting" w:hAnsi="Arabic Typesetting" w:cs="Arabic Typesetting"/>
          <w:sz w:val="44"/>
          <w:szCs w:val="44"/>
          <w:rtl/>
        </w:rPr>
        <w:t xml:space="preserve">؛  </w:t>
      </w:r>
    </w:p>
    <w:p w:rsidR="00097CB6" w:rsidRPr="00501D8A" w:rsidRDefault="00097CB6" w:rsidP="00D903C7">
      <w:pPr>
        <w:numPr>
          <w:ilvl w:val="0"/>
          <w:numId w:val="2"/>
        </w:numPr>
        <w:bidi/>
        <w:spacing w:before="240" w:after="240" w:line="240" w:lineRule="auto"/>
        <w:jc w:val="both"/>
        <w:rPr>
          <w:rFonts w:ascii="Arabic Typesetting" w:hAnsi="Arabic Typesetting" w:cs="Arabic Typesetting"/>
          <w:sz w:val="44"/>
          <w:szCs w:val="44"/>
          <w:rtl/>
          <w:lang w:bidi="ar-MA"/>
        </w:rPr>
      </w:pPr>
      <w:r w:rsidRPr="00501D8A">
        <w:rPr>
          <w:rFonts w:ascii="Arabic Typesetting" w:hAnsi="Arabic Typesetting" w:cs="Arabic Typesetting"/>
          <w:sz w:val="44"/>
          <w:szCs w:val="44"/>
          <w:rtl/>
        </w:rPr>
        <w:t xml:space="preserve">التطورات الدولية الأخيرة لصالح أنظمة جنائية وطنية </w:t>
      </w:r>
      <w:r w:rsidR="0032008D" w:rsidRPr="00501D8A">
        <w:rPr>
          <w:rFonts w:ascii="Arabic Typesetting" w:hAnsi="Arabic Typesetting" w:cs="Arabic Typesetting"/>
          <w:sz w:val="44"/>
          <w:szCs w:val="44"/>
          <w:rtl/>
        </w:rPr>
        <w:t>ناجعة، منصفة، إنسانية، و مسؤولة</w:t>
      </w:r>
      <w:r w:rsidRPr="00501D8A">
        <w:rPr>
          <w:rFonts w:ascii="Arabic Typesetting" w:hAnsi="Arabic Typesetting" w:cs="Arabic Typesetting"/>
          <w:sz w:val="44"/>
          <w:szCs w:val="44"/>
          <w:rtl/>
        </w:rPr>
        <w:t>، و خاصة إعلان سالفادور حول الاستراتيجيات الشاملة للتحديات العالمية (مؤتمر الأمم المتحدة الثاني عشر لمنع الجريمة و العدالة الجنائية، 2010)</w:t>
      </w:r>
      <w:r w:rsidRPr="00501D8A">
        <w:rPr>
          <w:rFonts w:ascii="Arabic Typesetting" w:hAnsi="Arabic Typesetting" w:cs="Arabic Typesetting"/>
          <w:sz w:val="44"/>
          <w:szCs w:val="44"/>
          <w:rtl/>
        </w:rPr>
        <w:footnoteReference w:id="3"/>
      </w:r>
      <w:r w:rsidRPr="00501D8A">
        <w:rPr>
          <w:rFonts w:ascii="Arabic Typesetting" w:hAnsi="Arabic Typesetting" w:cs="Arabic Typesetting"/>
          <w:sz w:val="44"/>
          <w:szCs w:val="44"/>
          <w:rtl/>
        </w:rPr>
        <w:t xml:space="preserve"> و ك</w:t>
      </w:r>
      <w:r w:rsidR="00D903C7">
        <w:rPr>
          <w:rFonts w:ascii="Arabic Typesetting" w:hAnsi="Arabic Typesetting" w:cs="Arabic Typesetting" w:hint="cs"/>
          <w:sz w:val="44"/>
          <w:szCs w:val="44"/>
          <w:rtl/>
        </w:rPr>
        <w:t>ـ</w:t>
      </w:r>
      <w:r w:rsidRPr="00501D8A">
        <w:rPr>
          <w:rFonts w:ascii="Arabic Typesetting" w:hAnsi="Arabic Typesetting" w:cs="Arabic Typesetting"/>
          <w:sz w:val="44"/>
          <w:szCs w:val="44"/>
          <w:rtl/>
        </w:rPr>
        <w:t>ذا مشروع إع</w:t>
      </w:r>
      <w:r w:rsidR="00D903C7">
        <w:rPr>
          <w:rFonts w:ascii="Arabic Typesetting" w:hAnsi="Arabic Typesetting" w:cs="Arabic Typesetting" w:hint="cs"/>
          <w:sz w:val="44"/>
          <w:szCs w:val="44"/>
          <w:rtl/>
        </w:rPr>
        <w:t>ـ</w:t>
      </w:r>
      <w:r w:rsidRPr="00501D8A">
        <w:rPr>
          <w:rFonts w:ascii="Arabic Typesetting" w:hAnsi="Arabic Typesetting" w:cs="Arabic Typesetting"/>
          <w:sz w:val="44"/>
          <w:szCs w:val="44"/>
          <w:rtl/>
        </w:rPr>
        <w:t>لان ال</w:t>
      </w:r>
      <w:r w:rsidR="00D903C7">
        <w:rPr>
          <w:rFonts w:ascii="Arabic Typesetting" w:hAnsi="Arabic Typesetting" w:cs="Arabic Typesetting" w:hint="cs"/>
          <w:sz w:val="44"/>
          <w:szCs w:val="44"/>
          <w:rtl/>
        </w:rPr>
        <w:t>ـ</w:t>
      </w:r>
      <w:r w:rsidRPr="00501D8A">
        <w:rPr>
          <w:rFonts w:ascii="Arabic Typesetting" w:hAnsi="Arabic Typesetting" w:cs="Arabic Typesetting"/>
          <w:sz w:val="44"/>
          <w:szCs w:val="44"/>
          <w:rtl/>
        </w:rPr>
        <w:t xml:space="preserve">دوحة حول "إدماج منع الجريمة والعدالة الجنائية في جدول أعمال الأمم المتحدة الأوسع من أجل التصدِّي للتحدِّيات الاجتماعية والاقتصادية وتعزيز سيادة القانون على الصعيدين </w:t>
      </w:r>
      <w:r w:rsidRPr="00501D8A">
        <w:rPr>
          <w:rFonts w:ascii="Arabic Typesetting" w:hAnsi="Arabic Typesetting" w:cs="Arabic Typesetting"/>
          <w:sz w:val="44"/>
          <w:szCs w:val="44"/>
          <w:rtl/>
        </w:rPr>
        <w:lastRenderedPageBreak/>
        <w:t>الوطني والدولي ومشاركة الجمهور" (مؤتمر الأمم المتحدة الثالث عشر لمنع الجريمة و العدالة الجنائية، 2015).</w:t>
      </w:r>
    </w:p>
    <w:p w:rsidR="006645C9" w:rsidRPr="00501D8A" w:rsidRDefault="00097CB6"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و</w:t>
      </w:r>
      <w:r w:rsidR="00D44982" w:rsidRPr="00501D8A">
        <w:rPr>
          <w:rFonts w:ascii="Arabic Typesetting" w:hAnsi="Arabic Typesetting" w:cs="Arabic Typesetting"/>
          <w:sz w:val="44"/>
          <w:szCs w:val="44"/>
          <w:rtl/>
        </w:rPr>
        <w:t xml:space="preserve">تبعا </w:t>
      </w:r>
      <w:r w:rsidR="006645C9" w:rsidRPr="00501D8A">
        <w:rPr>
          <w:rFonts w:ascii="Arabic Typesetting" w:hAnsi="Arabic Typesetting" w:cs="Arabic Typesetting"/>
          <w:sz w:val="44"/>
          <w:szCs w:val="44"/>
          <w:rtl/>
        </w:rPr>
        <w:t>لذلك</w:t>
      </w:r>
      <w:r w:rsidR="00D44982" w:rsidRPr="00501D8A">
        <w:rPr>
          <w:rFonts w:ascii="Arabic Typesetting" w:hAnsi="Arabic Typesetting" w:cs="Arabic Typesetting"/>
          <w:sz w:val="44"/>
          <w:szCs w:val="44"/>
          <w:rtl/>
        </w:rPr>
        <w:t>،</w:t>
      </w:r>
      <w:r w:rsidR="006645C9" w:rsidRPr="00501D8A">
        <w:rPr>
          <w:rFonts w:ascii="Arabic Typesetting" w:hAnsi="Arabic Typesetting" w:cs="Arabic Typesetting"/>
          <w:sz w:val="44"/>
          <w:szCs w:val="44"/>
          <w:rtl/>
        </w:rPr>
        <w:t xml:space="preserve"> فإن المجلس يواكب مسار هذا القانون ويتتبع مسار تطبيقاته المختلفة بارتباط مع السياسة الجنائية، ومع التحولات القوية والمتسارعة التي يعرفها المجتمع المغربي.  فتطبيق هذا القانون هو الذي يبرز مدى مسايرته لتطور المجتمع ولقيمه والعلاقات المتجددة باستمرار</w:t>
      </w:r>
      <w:r w:rsidR="00FF6B4B" w:rsidRPr="00501D8A">
        <w:rPr>
          <w:rFonts w:ascii="Arabic Typesetting" w:hAnsi="Arabic Typesetting" w:cs="Arabic Typesetting"/>
          <w:sz w:val="44"/>
          <w:szCs w:val="44"/>
          <w:rtl/>
        </w:rPr>
        <w:t>، ويكشف بالتالي عن درجة توتر علاقاته مع هذا المجتمع ككل، ومع أفراده</w:t>
      </w:r>
      <w:r w:rsidR="006645C9" w:rsidRPr="00501D8A">
        <w:rPr>
          <w:rFonts w:ascii="Arabic Typesetting" w:hAnsi="Arabic Typesetting" w:cs="Arabic Typesetting"/>
          <w:sz w:val="44"/>
          <w:szCs w:val="44"/>
          <w:rtl/>
        </w:rPr>
        <w:t>.</w:t>
      </w:r>
    </w:p>
    <w:p w:rsidR="00553734" w:rsidRPr="00501D8A" w:rsidRDefault="006645C9"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 xml:space="preserve">وإن المجلس يواكب، للاعتبارات المذكورة، جميع مبادرات تعديل هذا القانون وتتميمه، ويدلي برأيه بخصوصها. </w:t>
      </w:r>
      <w:r w:rsidR="00553734" w:rsidRPr="00501D8A">
        <w:rPr>
          <w:rFonts w:ascii="Arabic Typesetting" w:hAnsi="Arabic Typesetting" w:cs="Arabic Typesetting"/>
          <w:sz w:val="44"/>
          <w:szCs w:val="44"/>
          <w:rtl/>
        </w:rPr>
        <w:t>وينطلق المجلس بالطبع في هذا المجال من مقتضيات دستور 2011، وتوصيات هيئة الإنصاف والمصالحة، والقانون الدولي لحقوق الإنسان والتوصيات الموجهة لبلادنا من لدن أجهزة الأمم المتحدة، والاجتهاد القضائي الدولي والأجنب</w:t>
      </w:r>
      <w:r w:rsidR="0032008D" w:rsidRPr="00501D8A">
        <w:rPr>
          <w:rFonts w:ascii="Arabic Typesetting" w:hAnsi="Arabic Typesetting" w:cs="Arabic Typesetting"/>
          <w:sz w:val="44"/>
          <w:szCs w:val="44"/>
          <w:rtl/>
        </w:rPr>
        <w:t>ي، والممارسات الفضلى عبر العالم</w:t>
      </w:r>
      <w:r w:rsidR="00553734" w:rsidRPr="00501D8A">
        <w:rPr>
          <w:rFonts w:ascii="Arabic Typesetting" w:hAnsi="Arabic Typesetting" w:cs="Arabic Typesetting"/>
          <w:sz w:val="44"/>
          <w:szCs w:val="44"/>
          <w:rtl/>
        </w:rPr>
        <w:t>.</w:t>
      </w:r>
    </w:p>
    <w:p w:rsidR="00553734" w:rsidRPr="00501D8A" w:rsidRDefault="00553734"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كما ينطلق، فيما يتعلق بالتجريم من التحولات العميقة التي يعرفها مجتمعنا على مستوى ثقافة حقوق الإنسان، و</w:t>
      </w:r>
      <w:r w:rsidR="00FF6B4B" w:rsidRPr="00501D8A">
        <w:rPr>
          <w:rFonts w:ascii="Arabic Typesetting" w:hAnsi="Arabic Typesetting" w:cs="Arabic Typesetting"/>
          <w:sz w:val="44"/>
          <w:szCs w:val="44"/>
          <w:rtl/>
        </w:rPr>
        <w:t xml:space="preserve">تطور أنماط </w:t>
      </w:r>
      <w:r w:rsidRPr="00501D8A">
        <w:rPr>
          <w:rFonts w:ascii="Arabic Typesetting" w:hAnsi="Arabic Typesetting" w:cs="Arabic Typesetting"/>
          <w:sz w:val="44"/>
          <w:szCs w:val="44"/>
          <w:rtl/>
        </w:rPr>
        <w:t>العلاقات بين الأفراد، والحريات الفردية، وتصور الم</w:t>
      </w:r>
      <w:r w:rsidR="00FF6B4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واط</w:t>
      </w:r>
      <w:r w:rsidR="00FF6B4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نة والم</w:t>
      </w:r>
      <w:r w:rsidR="00FF6B4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واط</w:t>
      </w:r>
      <w:r w:rsidR="00FF6B4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 xml:space="preserve">ن للحرية. </w:t>
      </w:r>
    </w:p>
    <w:p w:rsidR="0066145B" w:rsidRPr="00501D8A" w:rsidRDefault="00553734" w:rsidP="00D903C7">
      <w:pPr>
        <w:tabs>
          <w:tab w:val="left" w:pos="3297"/>
        </w:tabs>
        <w:bidi/>
        <w:spacing w:before="240" w:after="240" w:line="240" w:lineRule="auto"/>
        <w:jc w:val="both"/>
        <w:rPr>
          <w:rFonts w:ascii="Arabic Typesetting" w:hAnsi="Arabic Typesetting" w:cs="Arabic Typesetting"/>
          <w:sz w:val="44"/>
          <w:szCs w:val="44"/>
          <w:rtl/>
          <w:lang w:bidi="ar-MA"/>
        </w:rPr>
      </w:pPr>
      <w:r w:rsidRPr="00501D8A">
        <w:rPr>
          <w:rFonts w:ascii="Arabic Typesetting" w:hAnsi="Arabic Typesetting" w:cs="Arabic Typesetting"/>
          <w:sz w:val="44"/>
          <w:szCs w:val="44"/>
          <w:rtl/>
        </w:rPr>
        <w:t xml:space="preserve">وفيما يتعلق بالعقاب، فإن المجلس يأخذ بعين الاعتبار التطور الدولي الهام في مجال العقوبة وأنواعها </w:t>
      </w:r>
      <w:r w:rsidR="0066145B" w:rsidRPr="00501D8A">
        <w:rPr>
          <w:rFonts w:ascii="Arabic Typesetting" w:hAnsi="Arabic Typesetting" w:cs="Arabic Typesetting"/>
          <w:sz w:val="44"/>
          <w:szCs w:val="44"/>
          <w:rtl/>
        </w:rPr>
        <w:t>و</w:t>
      </w:r>
      <w:r w:rsidR="00FF6B4B" w:rsidRPr="00501D8A">
        <w:rPr>
          <w:rFonts w:ascii="Arabic Typesetting" w:hAnsi="Arabic Typesetting" w:cs="Arabic Typesetting"/>
          <w:sz w:val="44"/>
          <w:szCs w:val="44"/>
          <w:rtl/>
        </w:rPr>
        <w:t>ترشيدها</w:t>
      </w:r>
      <w:r w:rsidRPr="00501D8A">
        <w:rPr>
          <w:rFonts w:ascii="Arabic Typesetting" w:hAnsi="Arabic Typesetting" w:cs="Arabic Typesetting"/>
          <w:sz w:val="44"/>
          <w:szCs w:val="44"/>
          <w:rtl/>
        </w:rPr>
        <w:t>وض</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ب</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ط</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 xml:space="preserve"> ت</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ن</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اس</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ب</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ها مع الأفعال الإجرامية</w:t>
      </w:r>
      <w:r w:rsidR="0066145B" w:rsidRPr="00501D8A">
        <w:rPr>
          <w:rFonts w:ascii="Arabic Typesetting" w:hAnsi="Arabic Typesetting" w:cs="Arabic Typesetting"/>
          <w:sz w:val="44"/>
          <w:szCs w:val="44"/>
          <w:rtl/>
        </w:rPr>
        <w:t>،وتقييدها بحدود فعاليتها. كما يستحضر أثر العقوبات السالبة للحرية على الفرد والمجتمع</w:t>
      </w:r>
      <w:r w:rsidR="00FF6B4B" w:rsidRPr="00501D8A">
        <w:rPr>
          <w:rFonts w:ascii="Arabic Typesetting" w:hAnsi="Arabic Typesetting" w:cs="Arabic Typesetting"/>
          <w:sz w:val="44"/>
          <w:szCs w:val="44"/>
          <w:rtl/>
        </w:rPr>
        <w:t>،</w:t>
      </w:r>
      <w:r w:rsidR="0066145B" w:rsidRPr="00501D8A">
        <w:rPr>
          <w:rFonts w:ascii="Arabic Typesetting" w:hAnsi="Arabic Typesetting" w:cs="Arabic Typesetting"/>
          <w:sz w:val="44"/>
          <w:szCs w:val="44"/>
          <w:rtl/>
        </w:rPr>
        <w:t xml:space="preserve"> ودرجة انتشار حالة العَوْد (</w:t>
      </w:r>
      <w:r w:rsidR="0066145B" w:rsidRPr="00501D8A">
        <w:rPr>
          <w:rFonts w:ascii="Arabic Typesetting" w:hAnsi="Arabic Typesetting" w:cs="Arabic Typesetting"/>
          <w:sz w:val="44"/>
          <w:szCs w:val="44"/>
        </w:rPr>
        <w:t>cas de récidive</w:t>
      </w:r>
      <w:r w:rsidR="0066145B" w:rsidRPr="00501D8A">
        <w:rPr>
          <w:rFonts w:ascii="Arabic Typesetting" w:hAnsi="Arabic Typesetting" w:cs="Arabic Typesetting"/>
          <w:sz w:val="44"/>
          <w:szCs w:val="44"/>
          <w:rtl/>
        </w:rPr>
        <w:t xml:space="preserve">). </w:t>
      </w:r>
    </w:p>
    <w:p w:rsidR="00097CB6" w:rsidRPr="00501D8A" w:rsidRDefault="00097CB6" w:rsidP="00D903C7">
      <w:pPr>
        <w:bidi/>
        <w:spacing w:before="240" w:after="240" w:line="240" w:lineRule="auto"/>
        <w:jc w:val="both"/>
        <w:rPr>
          <w:rFonts w:ascii="Arabic Typesetting" w:hAnsi="Arabic Typesetting" w:cs="Arabic Typesetting"/>
          <w:sz w:val="44"/>
          <w:szCs w:val="44"/>
          <w:rtl/>
          <w:lang w:bidi="ar-MA"/>
        </w:rPr>
      </w:pPr>
      <w:r w:rsidRPr="00501D8A">
        <w:rPr>
          <w:rFonts w:ascii="Arabic Typesetting" w:hAnsi="Arabic Typesetting" w:cs="Arabic Typesetting"/>
          <w:sz w:val="44"/>
          <w:szCs w:val="44"/>
          <w:rtl/>
        </w:rPr>
        <w:t xml:space="preserve">ويستثمر المجلس الوطني لحقوق الإنسان </w:t>
      </w:r>
      <w:r w:rsidRPr="00501D8A">
        <w:rPr>
          <w:rFonts w:ascii="Arabic Typesetting" w:hAnsi="Arabic Typesetting" w:cs="Arabic Typesetting"/>
          <w:sz w:val="44"/>
          <w:szCs w:val="44"/>
          <w:rtl/>
          <w:lang w:bidi="ar-MA"/>
        </w:rPr>
        <w:t xml:space="preserve">فرصة انعقاد هذا اليوم الدراسي الهام للتذكير بما يعتبره أولويات في مناقشة مشروع القانون 10.16: </w:t>
      </w:r>
    </w:p>
    <w:p w:rsidR="00097CB6" w:rsidRPr="00501D8A" w:rsidRDefault="00097CB6" w:rsidP="00D903C7">
      <w:pPr>
        <w:numPr>
          <w:ilvl w:val="0"/>
          <w:numId w:val="3"/>
        </w:numPr>
        <w:bidi/>
        <w:spacing w:before="240" w:after="240" w:line="240" w:lineRule="auto"/>
        <w:jc w:val="both"/>
        <w:rPr>
          <w:rFonts w:ascii="Arabic Typesetting" w:hAnsi="Arabic Typesetting" w:cs="Arabic Typesetting"/>
          <w:sz w:val="44"/>
          <w:szCs w:val="44"/>
          <w:rtl/>
          <w:lang w:bidi="ar-MA"/>
        </w:rPr>
      </w:pPr>
      <w:r w:rsidRPr="00501D8A">
        <w:rPr>
          <w:rFonts w:ascii="Arabic Typesetting" w:hAnsi="Arabic Typesetting" w:cs="Arabic Typesetting"/>
          <w:sz w:val="44"/>
          <w:szCs w:val="44"/>
          <w:rtl/>
          <w:lang w:bidi="ar-MA"/>
        </w:rPr>
        <w:t xml:space="preserve">إلغاء عقوبة الإعدام. </w:t>
      </w:r>
    </w:p>
    <w:p w:rsidR="00097CB6" w:rsidRPr="00501D8A" w:rsidRDefault="00097CB6" w:rsidP="00D903C7">
      <w:pPr>
        <w:numPr>
          <w:ilvl w:val="0"/>
          <w:numId w:val="3"/>
        </w:numPr>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 xml:space="preserve">مراجعة تعريف التعذيب المنصوص عليه في الفصل 231.1 من القانون الجنائي ومطابقته مع التعريف المنصوص عليه في المادة الأولى من اتفاقية مناهضة التعذيب وغيره من ضروب المعاملة أو العقوبة القاسية أو اللاإنسانية أو المهينة، من أجل إدراج المحاولة والمشاركة وإدراج مفهوم "أي شخص يتصرف بصفته الرسمية". </w:t>
      </w:r>
    </w:p>
    <w:p w:rsidR="00097CB6" w:rsidRPr="00501D8A" w:rsidRDefault="00097CB6" w:rsidP="00D903C7">
      <w:pPr>
        <w:numPr>
          <w:ilvl w:val="0"/>
          <w:numId w:val="3"/>
        </w:numPr>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lastRenderedPageBreak/>
        <w:t>إضافة مقتضى جديد في مشروع القانون يتمثل في عدم الاعتداد بأي ظرف استثنائي أو تعليمات أو أوامر صادرة عن أية سلطة</w:t>
      </w:r>
      <w:r w:rsidRPr="00501D8A">
        <w:rPr>
          <w:rFonts w:ascii="Arabic Typesetting" w:hAnsi="Arabic Typesetting" w:cs="Arabic Typesetting"/>
          <w:sz w:val="44"/>
          <w:szCs w:val="44"/>
          <w:rtl/>
          <w:lang w:bidi="ar-MA"/>
        </w:rPr>
        <w:t xml:space="preserve"> عمومية</w:t>
      </w:r>
      <w:r w:rsidRPr="00501D8A">
        <w:rPr>
          <w:rFonts w:ascii="Arabic Typesetting" w:hAnsi="Arabic Typesetting" w:cs="Arabic Typesetting"/>
          <w:sz w:val="44"/>
          <w:szCs w:val="44"/>
          <w:rtl/>
        </w:rPr>
        <w:t xml:space="preserve"> مدنية أو عسكرية من أجل تبرير ارتكاب جريمة التعذيب. </w:t>
      </w:r>
    </w:p>
    <w:p w:rsidR="00097CB6" w:rsidRPr="00501D8A" w:rsidRDefault="00097CB6" w:rsidP="00D903C7">
      <w:pPr>
        <w:numPr>
          <w:ilvl w:val="0"/>
          <w:numId w:val="3"/>
        </w:numPr>
        <w:bidi/>
        <w:spacing w:before="240" w:after="240" w:line="240" w:lineRule="auto"/>
        <w:jc w:val="both"/>
        <w:rPr>
          <w:rFonts w:ascii="Arabic Typesetting" w:hAnsi="Arabic Typesetting" w:cs="Arabic Typesetting"/>
          <w:sz w:val="44"/>
          <w:szCs w:val="44"/>
          <w:rtl/>
          <w:lang w:bidi="ar-MA"/>
        </w:rPr>
      </w:pPr>
      <w:r w:rsidRPr="00501D8A">
        <w:rPr>
          <w:rFonts w:ascii="Arabic Typesetting" w:hAnsi="Arabic Typesetting" w:cs="Arabic Typesetting"/>
          <w:sz w:val="44"/>
          <w:szCs w:val="44"/>
          <w:rtl/>
        </w:rPr>
        <w:t>إدراج أسباب جديدة للتمييز المعاقب عليه في القانون الجنائي، خاصة:</w:t>
      </w:r>
      <w:r w:rsidRPr="00501D8A">
        <w:rPr>
          <w:rFonts w:ascii="Arabic Typesetting" w:hAnsi="Arabic Typesetting" w:cs="Arabic Typesetting"/>
          <w:sz w:val="44"/>
          <w:szCs w:val="44"/>
          <w:rtl/>
          <w:lang w:bidi="ar-MA"/>
        </w:rPr>
        <w:t xml:space="preserve"> الوضعية الصحية الحالية أو المستقبلية، المعتقد، الثقافة، الحمل، الشكل الفيزيائي، الهشاشة الناتجة عن وضعية اقتصادية ظاهرة أو معروفة، الخصائص الجينية، الاسم العائلي، مكان الإقامة، السن، الميل الجنسي أو هوية النوع.  </w:t>
      </w:r>
    </w:p>
    <w:p w:rsidR="00097CB6" w:rsidRPr="00501D8A" w:rsidRDefault="00097CB6" w:rsidP="00D903C7">
      <w:pPr>
        <w:numPr>
          <w:ilvl w:val="0"/>
          <w:numId w:val="3"/>
        </w:numPr>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lang w:bidi="ar-MA"/>
        </w:rPr>
        <w:t>توسيع نطاق تجريم التمييز ليشمل رفض تقديم سلع أو خدمات أو الترتيبات التيسيرية المعقولة للأشخاص في وضعية إعاقة؛</w:t>
      </w:r>
    </w:p>
    <w:p w:rsidR="00097CB6" w:rsidRPr="00501D8A" w:rsidRDefault="00097CB6" w:rsidP="00D903C7">
      <w:pPr>
        <w:numPr>
          <w:ilvl w:val="0"/>
          <w:numId w:val="3"/>
        </w:numPr>
        <w:bidi/>
        <w:spacing w:before="240" w:after="240" w:line="240" w:lineRule="auto"/>
        <w:jc w:val="both"/>
        <w:rPr>
          <w:rFonts w:ascii="Arabic Typesetting" w:hAnsi="Arabic Typesetting" w:cs="Arabic Typesetting"/>
          <w:sz w:val="44"/>
          <w:szCs w:val="44"/>
        </w:rPr>
      </w:pPr>
      <w:r w:rsidRPr="00501D8A">
        <w:rPr>
          <w:rFonts w:ascii="Arabic Typesetting" w:hAnsi="Arabic Typesetting" w:cs="Arabic Typesetting"/>
          <w:sz w:val="44"/>
          <w:szCs w:val="44"/>
          <w:rtl/>
          <w:lang w:bidi="ar-MA"/>
        </w:rPr>
        <w:t>إدراج عقوبات من أجل التحريض العلني على العنصرية، الكراهية وعلى التمييز.</w:t>
      </w:r>
    </w:p>
    <w:p w:rsidR="00097CB6" w:rsidRPr="00501D8A" w:rsidRDefault="00097CB6"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وعلى العموم، فبخصوص مشروع القانون رقم 16.10، فقد بلور المجلس رأيا تفصيليا يُوجَدُ بموقعه الإلكتروني.</w:t>
      </w:r>
    </w:p>
    <w:p w:rsidR="00097CB6" w:rsidRPr="00501D8A" w:rsidRDefault="00180D1A"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إن المجلس</w:t>
      </w:r>
      <w:r w:rsidR="0032008D" w:rsidRPr="00501D8A">
        <w:rPr>
          <w:rFonts w:ascii="Arabic Typesetting" w:hAnsi="Arabic Typesetting" w:cs="Arabic Typesetting"/>
          <w:sz w:val="44"/>
          <w:szCs w:val="44"/>
          <w:rtl/>
        </w:rPr>
        <w:t xml:space="preserve">، يدعو بوجه عام إلى إعادة النظر بكيفية شاملة في منظومة التجريم والعقاب، فَلْسَفةً وبنيةً ولغةً ومقتضياتٍ، في اتجاه استحضار روح الدستور ومراعاة تحولات المجتمع المغربي، ويوصي بتدقيق التناسب بين الجريمة والعقوبة، وبإلغاء عقوبة الإعدام، وإقرار بدائل الاعتقال والعقوبة.   </w:t>
      </w:r>
    </w:p>
    <w:p w:rsidR="00D44982" w:rsidRPr="00501D8A" w:rsidRDefault="00D44982" w:rsidP="00D903C7">
      <w:pPr>
        <w:pStyle w:val="NormalWeb"/>
        <w:bidi/>
        <w:spacing w:before="240" w:beforeAutospacing="0" w:after="240" w:afterAutospacing="0"/>
        <w:jc w:val="both"/>
        <w:rPr>
          <w:rFonts w:ascii="Arabic Typesetting" w:hAnsi="Arabic Typesetting" w:cs="Arabic Typesetting"/>
          <w:color w:val="000000"/>
          <w:sz w:val="44"/>
          <w:szCs w:val="44"/>
        </w:rPr>
      </w:pPr>
      <w:r w:rsidRPr="00501D8A">
        <w:rPr>
          <w:rFonts w:ascii="Arabic Typesetting" w:hAnsi="Arabic Typesetting" w:cs="Arabic Typesetting"/>
          <w:color w:val="000000"/>
          <w:sz w:val="44"/>
          <w:szCs w:val="44"/>
          <w:rtl/>
        </w:rPr>
        <w:t>وتجدر الإشارة في الأخير، أن المجلس الوطني لحقوق الإنسان، يعتبر مناقشة مشروع القانون 10.16 فرصة للتذكير ببعض مقترحاته المتعلقة بمقتضيات القانون الجنائي الخاصة بمكافحة العنف ضد النساء، والتي لم يتم الأخذ بها في القانون 103.13، ويعتبر أن من المناسب التذكير ببعضها:</w:t>
      </w:r>
    </w:p>
    <w:p w:rsidR="00D44982" w:rsidRPr="00501D8A" w:rsidRDefault="00D44982" w:rsidP="00D903C7">
      <w:pPr>
        <w:pStyle w:val="NormalWeb"/>
        <w:numPr>
          <w:ilvl w:val="0"/>
          <w:numId w:val="4"/>
        </w:numPr>
        <w:bidi/>
        <w:spacing w:before="240" w:beforeAutospacing="0" w:after="240" w:afterAutospacing="0"/>
        <w:jc w:val="both"/>
        <w:rPr>
          <w:rFonts w:ascii="Arabic Typesetting" w:hAnsi="Arabic Typesetting" w:cs="Arabic Typesetting"/>
          <w:color w:val="000000"/>
          <w:sz w:val="44"/>
          <w:szCs w:val="44"/>
        </w:rPr>
      </w:pPr>
      <w:r w:rsidRPr="00501D8A">
        <w:rPr>
          <w:rFonts w:ascii="Arabic Typesetting" w:hAnsi="Arabic Typesetting" w:cs="Arabic Typesetting"/>
          <w:color w:val="000000"/>
          <w:sz w:val="44"/>
          <w:szCs w:val="44"/>
          <w:rtl/>
        </w:rPr>
        <w:t>إعادة تعريف جريمة الاغتصاب المنصوص عليها في الفصل 486 من القانون الجنائي من أجل إدراج الاغتصاب الزوجي ضمنها، وإعادة تصنيف جريمة الاغتصاب ضمن الجنايات ضد الأشخاص عوض إبقائها ضمن الجنايات والجنح ضد الأشخاص</w:t>
      </w:r>
      <w:r w:rsidRPr="00501D8A">
        <w:rPr>
          <w:rFonts w:ascii="Arabic Typesetting" w:hAnsi="Arabic Typesetting" w:cs="Arabic Typesetting"/>
          <w:color w:val="000000"/>
          <w:sz w:val="44"/>
          <w:szCs w:val="44"/>
        </w:rPr>
        <w:t>.</w:t>
      </w:r>
    </w:p>
    <w:p w:rsidR="00D44982" w:rsidRPr="00501D8A" w:rsidRDefault="00D44982" w:rsidP="00D903C7">
      <w:pPr>
        <w:pStyle w:val="NormalWeb"/>
        <w:numPr>
          <w:ilvl w:val="0"/>
          <w:numId w:val="4"/>
        </w:numPr>
        <w:bidi/>
        <w:spacing w:before="240" w:beforeAutospacing="0" w:after="240" w:afterAutospacing="0"/>
        <w:jc w:val="both"/>
        <w:rPr>
          <w:rFonts w:ascii="Arabic Typesetting" w:hAnsi="Arabic Typesetting" w:cs="Arabic Typesetting"/>
          <w:color w:val="000000"/>
          <w:sz w:val="44"/>
          <w:szCs w:val="44"/>
        </w:rPr>
      </w:pPr>
      <w:r w:rsidRPr="00501D8A">
        <w:rPr>
          <w:rFonts w:ascii="Arabic Typesetting" w:hAnsi="Arabic Typesetting" w:cs="Arabic Typesetting"/>
          <w:color w:val="000000"/>
          <w:sz w:val="44"/>
          <w:szCs w:val="44"/>
          <w:rtl/>
        </w:rPr>
        <w:lastRenderedPageBreak/>
        <w:t>حذف الافتضاض المنصوص عليه كظرف تشديد في الفصل 488 وكذا الفصل 490 لكون الفصل المذكور يشكل عائقا موضوعيا أمام الضحايا من أجل وضع شكايات الاغتصاب؛</w:t>
      </w:r>
    </w:p>
    <w:p w:rsidR="00D44982" w:rsidRPr="00501D8A" w:rsidRDefault="00D44982" w:rsidP="00D903C7">
      <w:pPr>
        <w:pStyle w:val="NormalWeb"/>
        <w:numPr>
          <w:ilvl w:val="0"/>
          <w:numId w:val="4"/>
        </w:numPr>
        <w:bidi/>
        <w:spacing w:before="240" w:beforeAutospacing="0" w:after="240" w:afterAutospacing="0"/>
        <w:jc w:val="both"/>
        <w:rPr>
          <w:rFonts w:ascii="Arabic Typesetting" w:hAnsi="Arabic Typesetting" w:cs="Arabic Typesetting"/>
          <w:color w:val="000000"/>
          <w:sz w:val="44"/>
          <w:szCs w:val="44"/>
        </w:rPr>
      </w:pPr>
      <w:r w:rsidRPr="00501D8A">
        <w:rPr>
          <w:rFonts w:ascii="Arabic Typesetting" w:hAnsi="Arabic Typesetting" w:cs="Arabic Typesetting"/>
          <w:color w:val="000000"/>
          <w:sz w:val="44"/>
          <w:szCs w:val="44"/>
          <w:rtl/>
        </w:rPr>
        <w:t>حذف الفصل 418 من القانون الجنائي الذي ينص على أنه " يتوفر عذر مخفض للعقوبة في جرائم القتل أو الجرح أو الضرب، إذا ارتكبها أحد الزوجين ضد الزوج الآخر وشريكه عند مفاجأتهما متلبسين بجريمة الخيانة الزوجية"؛</w:t>
      </w:r>
    </w:p>
    <w:p w:rsidR="00D44982" w:rsidRPr="00501D8A" w:rsidRDefault="00D44982" w:rsidP="00D903C7">
      <w:pPr>
        <w:pStyle w:val="NormalWeb"/>
        <w:numPr>
          <w:ilvl w:val="0"/>
          <w:numId w:val="4"/>
        </w:numPr>
        <w:bidi/>
        <w:spacing w:before="240" w:beforeAutospacing="0" w:after="240" w:afterAutospacing="0"/>
        <w:jc w:val="both"/>
        <w:rPr>
          <w:rFonts w:ascii="Arabic Typesetting" w:hAnsi="Arabic Typesetting" w:cs="Arabic Typesetting"/>
          <w:color w:val="000000"/>
          <w:sz w:val="44"/>
          <w:szCs w:val="44"/>
        </w:rPr>
      </w:pPr>
      <w:r w:rsidRPr="00501D8A">
        <w:rPr>
          <w:rFonts w:ascii="Arabic Typesetting" w:hAnsi="Arabic Typesetting" w:cs="Arabic Typesetting"/>
          <w:color w:val="000000"/>
          <w:sz w:val="44"/>
          <w:szCs w:val="44"/>
          <w:rtl/>
        </w:rPr>
        <w:t>إدراج مادة جديدة 296.1 في قانون المسطرة الجنائية تضع عبء إثبات عدم التحرش، في حال التحرش المنصوص عليه في الفصل 503.1 من القانون الجنائي، على المتهم عندما تكون له سلطة على الضحية في المجالين المهني أو المدرسي</w:t>
      </w:r>
      <w:r w:rsidRPr="00501D8A">
        <w:rPr>
          <w:rFonts w:ascii="Arabic Typesetting" w:hAnsi="Arabic Typesetting" w:cs="Arabic Typesetting"/>
          <w:color w:val="000000"/>
          <w:sz w:val="44"/>
          <w:szCs w:val="44"/>
        </w:rPr>
        <w:t>.</w:t>
      </w:r>
    </w:p>
    <w:p w:rsidR="00107D15" w:rsidRPr="00501D8A" w:rsidRDefault="00CB2D2F"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وإن المجلس ل</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ع</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ل</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ى ي</w:t>
      </w:r>
      <w:r w:rsidR="00EA25DB" w:rsidRPr="00501D8A">
        <w:rPr>
          <w:rFonts w:ascii="Arabic Typesetting" w:hAnsi="Arabic Typesetting" w:cs="Arabic Typesetting"/>
          <w:sz w:val="44"/>
          <w:szCs w:val="44"/>
          <w:rtl/>
        </w:rPr>
        <w:t>َ</w:t>
      </w:r>
      <w:r w:rsidRPr="00501D8A">
        <w:rPr>
          <w:rFonts w:ascii="Arabic Typesetting" w:hAnsi="Arabic Typesetting" w:cs="Arabic Typesetting"/>
          <w:sz w:val="44"/>
          <w:szCs w:val="44"/>
          <w:rtl/>
        </w:rPr>
        <w:t xml:space="preserve">قين أن المناقشات التي سيعرفها هذا اللقاء الدراسي ستساهم في إثارة </w:t>
      </w:r>
      <w:r w:rsidR="00107D15" w:rsidRPr="00501D8A">
        <w:rPr>
          <w:rFonts w:ascii="Arabic Typesetting" w:hAnsi="Arabic Typesetting" w:cs="Arabic Typesetting"/>
          <w:sz w:val="44"/>
          <w:szCs w:val="44"/>
          <w:rtl/>
        </w:rPr>
        <w:t>مختلف الإشكالات التي يطرحها القانون الجنائي المطبق حاليا وفي اقتراح سبل معالجتها وتجاوزها.</w:t>
      </w:r>
    </w:p>
    <w:p w:rsidR="00107D15" w:rsidRPr="00501D8A" w:rsidRDefault="00107D15" w:rsidP="00D903C7">
      <w:pPr>
        <w:tabs>
          <w:tab w:val="left" w:pos="3297"/>
        </w:tabs>
        <w:bidi/>
        <w:spacing w:before="240" w:after="240" w:line="240" w:lineRule="auto"/>
        <w:jc w:val="both"/>
        <w:rPr>
          <w:rFonts w:ascii="Arabic Typesetting" w:hAnsi="Arabic Typesetting" w:cs="Arabic Typesetting"/>
          <w:sz w:val="44"/>
          <w:szCs w:val="44"/>
          <w:rtl/>
        </w:rPr>
      </w:pPr>
      <w:r w:rsidRPr="00501D8A">
        <w:rPr>
          <w:rFonts w:ascii="Arabic Typesetting" w:hAnsi="Arabic Typesetting" w:cs="Arabic Typesetting"/>
          <w:sz w:val="44"/>
          <w:szCs w:val="44"/>
          <w:rtl/>
        </w:rPr>
        <w:t>وفي الختام، أتمنى لأشغال هذا اللقاء الدراسي كامل التوفيق.</w:t>
      </w:r>
    </w:p>
    <w:p w:rsidR="001530C3" w:rsidRPr="00501D8A" w:rsidRDefault="00107D15" w:rsidP="00D903C7">
      <w:pPr>
        <w:tabs>
          <w:tab w:val="left" w:pos="3297"/>
        </w:tabs>
        <w:bidi/>
        <w:spacing w:before="240" w:after="240" w:line="240" w:lineRule="auto"/>
        <w:jc w:val="center"/>
        <w:rPr>
          <w:rFonts w:ascii="Arabic Typesetting" w:hAnsi="Arabic Typesetting" w:cs="Arabic Typesetting"/>
          <w:sz w:val="44"/>
          <w:szCs w:val="44"/>
        </w:rPr>
      </w:pPr>
      <w:r w:rsidRPr="00501D8A">
        <w:rPr>
          <w:rFonts w:ascii="Arabic Typesetting" w:hAnsi="Arabic Typesetting" w:cs="Arabic Typesetting"/>
          <w:sz w:val="44"/>
          <w:szCs w:val="44"/>
          <w:rtl/>
        </w:rPr>
        <w:t>والس</w:t>
      </w:r>
      <w:r w:rsidR="00D903C7">
        <w:rPr>
          <w:rFonts w:ascii="Arabic Typesetting" w:hAnsi="Arabic Typesetting" w:cs="Arabic Typesetting" w:hint="cs"/>
          <w:sz w:val="44"/>
          <w:szCs w:val="44"/>
          <w:rtl/>
        </w:rPr>
        <w:t>ــــــــــ</w:t>
      </w:r>
      <w:r w:rsidRPr="00501D8A">
        <w:rPr>
          <w:rFonts w:ascii="Arabic Typesetting" w:hAnsi="Arabic Typesetting" w:cs="Arabic Typesetting"/>
          <w:sz w:val="44"/>
          <w:szCs w:val="44"/>
          <w:rtl/>
        </w:rPr>
        <w:t>لام ع</w:t>
      </w:r>
      <w:r w:rsidR="00D903C7">
        <w:rPr>
          <w:rFonts w:ascii="Arabic Typesetting" w:hAnsi="Arabic Typesetting" w:cs="Arabic Typesetting" w:hint="cs"/>
          <w:sz w:val="44"/>
          <w:szCs w:val="44"/>
          <w:rtl/>
        </w:rPr>
        <w:t>ــــ</w:t>
      </w:r>
      <w:r w:rsidRPr="00501D8A">
        <w:rPr>
          <w:rFonts w:ascii="Arabic Typesetting" w:hAnsi="Arabic Typesetting" w:cs="Arabic Typesetting"/>
          <w:sz w:val="44"/>
          <w:szCs w:val="44"/>
          <w:rtl/>
        </w:rPr>
        <w:t>ل</w:t>
      </w:r>
      <w:r w:rsidR="00D903C7">
        <w:rPr>
          <w:rFonts w:ascii="Arabic Typesetting" w:hAnsi="Arabic Typesetting" w:cs="Arabic Typesetting" w:hint="cs"/>
          <w:sz w:val="44"/>
          <w:szCs w:val="44"/>
          <w:rtl/>
        </w:rPr>
        <w:t>ـــ</w:t>
      </w:r>
      <w:r w:rsidRPr="00501D8A">
        <w:rPr>
          <w:rFonts w:ascii="Arabic Typesetting" w:hAnsi="Arabic Typesetting" w:cs="Arabic Typesetting"/>
          <w:sz w:val="44"/>
          <w:szCs w:val="44"/>
          <w:rtl/>
        </w:rPr>
        <w:t>ي</w:t>
      </w:r>
      <w:r w:rsidR="00D903C7">
        <w:rPr>
          <w:rFonts w:ascii="Arabic Typesetting" w:hAnsi="Arabic Typesetting" w:cs="Arabic Typesetting" w:hint="cs"/>
          <w:sz w:val="44"/>
          <w:szCs w:val="44"/>
          <w:rtl/>
        </w:rPr>
        <w:t>ــ</w:t>
      </w:r>
      <w:r w:rsidRPr="00501D8A">
        <w:rPr>
          <w:rFonts w:ascii="Arabic Typesetting" w:hAnsi="Arabic Typesetting" w:cs="Arabic Typesetting"/>
          <w:sz w:val="44"/>
          <w:szCs w:val="44"/>
          <w:rtl/>
        </w:rPr>
        <w:t>كم</w:t>
      </w:r>
    </w:p>
    <w:sectPr w:rsidR="001530C3" w:rsidRPr="00501D8A" w:rsidSect="00D74E2E">
      <w:footerReference w:type="default" r:id="rId8"/>
      <w:pgSz w:w="11906" w:h="16838"/>
      <w:pgMar w:top="1418" w:right="1418" w:bottom="1418"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EA3" w:rsidRDefault="009C3EA3" w:rsidP="00097CB6">
      <w:pPr>
        <w:spacing w:after="0" w:line="240" w:lineRule="auto"/>
      </w:pPr>
      <w:r>
        <w:separator/>
      </w:r>
    </w:p>
  </w:endnote>
  <w:endnote w:type="continuationSeparator" w:id="1">
    <w:p w:rsidR="009C3EA3" w:rsidRDefault="009C3EA3" w:rsidP="00097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70644"/>
      <w:docPartObj>
        <w:docPartGallery w:val="Page Numbers (Bottom of Page)"/>
        <w:docPartUnique/>
      </w:docPartObj>
    </w:sdtPr>
    <w:sdtContent>
      <w:p w:rsidR="00D74E2E" w:rsidRDefault="00F27568">
        <w:pPr>
          <w:pStyle w:val="Pieddepage"/>
          <w:jc w:val="center"/>
        </w:pPr>
        <w:r>
          <w:fldChar w:fldCharType="begin"/>
        </w:r>
        <w:r w:rsidR="00D74E2E">
          <w:instrText>PAGE   \* MERGEFORMAT</w:instrText>
        </w:r>
        <w:r>
          <w:fldChar w:fldCharType="separate"/>
        </w:r>
        <w:r w:rsidR="00EC134B">
          <w:rPr>
            <w:noProof/>
          </w:rPr>
          <w:t>2</w:t>
        </w:r>
        <w:r>
          <w:fldChar w:fldCharType="end"/>
        </w:r>
      </w:p>
    </w:sdtContent>
  </w:sdt>
  <w:p w:rsidR="00D44982" w:rsidRDefault="00D449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EA3" w:rsidRDefault="009C3EA3" w:rsidP="00097CB6">
      <w:pPr>
        <w:spacing w:after="0" w:line="240" w:lineRule="auto"/>
      </w:pPr>
      <w:r>
        <w:separator/>
      </w:r>
    </w:p>
  </w:footnote>
  <w:footnote w:type="continuationSeparator" w:id="1">
    <w:p w:rsidR="009C3EA3" w:rsidRDefault="009C3EA3" w:rsidP="00097CB6">
      <w:pPr>
        <w:spacing w:after="0" w:line="240" w:lineRule="auto"/>
      </w:pPr>
      <w:r>
        <w:continuationSeparator/>
      </w:r>
    </w:p>
  </w:footnote>
  <w:footnote w:id="2">
    <w:p w:rsidR="00097CB6" w:rsidRPr="00343AE1" w:rsidRDefault="00097CB6" w:rsidP="00D903C7">
      <w:pPr>
        <w:pStyle w:val="Notedebasdepage"/>
        <w:bidi/>
        <w:spacing w:after="0" w:line="240" w:lineRule="auto"/>
        <w:rPr>
          <w:rFonts w:ascii="Sakkal Majalla" w:hAnsi="Sakkal Majalla" w:cs="Sakkal Majalla"/>
          <w:rtl/>
          <w:lang w:bidi="ar-MA"/>
        </w:rPr>
      </w:pPr>
      <w:r>
        <w:rPr>
          <w:rStyle w:val="Appelnotedebasdep"/>
        </w:rPr>
        <w:footnoteRef/>
      </w:r>
      <w:r w:rsidRPr="00343AE1">
        <w:rPr>
          <w:rFonts w:ascii="Sakkal Majalla" w:hAnsi="Sakkal Majalla" w:cs="Sakkal Majalla" w:hint="cs"/>
          <w:rtl/>
          <w:lang w:bidi="ar-MA"/>
        </w:rPr>
        <w:t xml:space="preserve">-  تتمثل </w:t>
      </w:r>
      <w:r>
        <w:rPr>
          <w:rFonts w:ascii="Sakkal Majalla" w:hAnsi="Sakkal Majalla" w:cs="Sakkal Majalla" w:hint="cs"/>
          <w:rtl/>
          <w:lang w:bidi="ar-MA"/>
        </w:rPr>
        <w:t xml:space="preserve">الأهداف الفرعية الستة لهذا الهدف الاستراتيجي في: نهج سياسة جنائية جديدة-تطوير سياسة التجريم- إرساء عقابية ناجعة- تعزيز ضمانات المحاكمة العادلة- ضمان نجاعة آليات العدالة الجنائية- تحديث آليات العدالة الجنائية، ميثاق إصلاح منظومة العدالة ، يوليوز 2013  (ص 70 إلى 76)  </w:t>
      </w:r>
    </w:p>
  </w:footnote>
  <w:footnote w:id="3">
    <w:p w:rsidR="00097CB6" w:rsidRPr="00026618" w:rsidRDefault="00097CB6" w:rsidP="00D903C7">
      <w:pPr>
        <w:pStyle w:val="Notedebasdepage"/>
        <w:bidi/>
        <w:spacing w:after="0" w:line="240" w:lineRule="auto"/>
        <w:rPr>
          <w:rFonts w:ascii="Sakkal Majalla" w:hAnsi="Sakkal Majalla" w:cs="Sakkal Majalla"/>
          <w:rtl/>
          <w:lang w:bidi="ar-MA"/>
        </w:rPr>
      </w:pPr>
      <w:r>
        <w:rPr>
          <w:rStyle w:val="Appelnotedebasdep"/>
        </w:rPr>
        <w:footnoteRef/>
      </w:r>
      <w:r>
        <w:rPr>
          <w:rFonts w:hint="cs"/>
          <w:rtl/>
          <w:lang w:bidi="ar-MA"/>
        </w:rPr>
        <w:t xml:space="preserve">- </w:t>
      </w:r>
      <w:r w:rsidRPr="00026618">
        <w:rPr>
          <w:rFonts w:ascii="Sakkal Majalla" w:hAnsi="Sakkal Majalla" w:cs="Sakkal Majalla"/>
          <w:lang w:bidi="ar-MA"/>
        </w:rPr>
        <w:t>A/RES/65/230</w:t>
      </w:r>
      <w:r w:rsidRPr="00026618">
        <w:rPr>
          <w:rFonts w:ascii="Sakkal Majalla" w:hAnsi="Sakkal Majalla" w:cs="Sakkal Majalla" w:hint="cs"/>
          <w:rtl/>
          <w:lang w:bidi="ar-MA"/>
        </w:rPr>
        <w:t xml:space="preserve"> بتاريخ 21 ديسمبر 2010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AEA"/>
    <w:multiLevelType w:val="hybridMultilevel"/>
    <w:tmpl w:val="1FCC315C"/>
    <w:lvl w:ilvl="0" w:tplc="DDD2499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76792A"/>
    <w:multiLevelType w:val="hybridMultilevel"/>
    <w:tmpl w:val="F8848DDE"/>
    <w:lvl w:ilvl="0" w:tplc="EA8EC854">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D816B2"/>
    <w:multiLevelType w:val="hybridMultilevel"/>
    <w:tmpl w:val="12F46456"/>
    <w:lvl w:ilvl="0" w:tplc="BDC01886">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D55583"/>
    <w:multiLevelType w:val="hybridMultilevel"/>
    <w:tmpl w:val="B25602D8"/>
    <w:lvl w:ilvl="0" w:tplc="A198CC94">
      <w:start w:val="1"/>
      <w:numFmt w:val="bullet"/>
      <w:lvlText w:val=""/>
      <w:lvlJc w:val="left"/>
      <w:pPr>
        <w:ind w:left="1211" w:hanging="360"/>
      </w:pPr>
      <w:rPr>
        <w:rFonts w:ascii="Symbol" w:hAnsi="Symbol" w:hint="default"/>
        <w:color w:val="1F497D" w:themeColor="text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937FC"/>
    <w:rsid w:val="00097CB6"/>
    <w:rsid w:val="000D1AB4"/>
    <w:rsid w:val="00107D15"/>
    <w:rsid w:val="00107EFA"/>
    <w:rsid w:val="001530C3"/>
    <w:rsid w:val="00180D1A"/>
    <w:rsid w:val="0032008D"/>
    <w:rsid w:val="004C4AC9"/>
    <w:rsid w:val="00501D8A"/>
    <w:rsid w:val="00543CF3"/>
    <w:rsid w:val="00553734"/>
    <w:rsid w:val="00582414"/>
    <w:rsid w:val="0066145B"/>
    <w:rsid w:val="006645C9"/>
    <w:rsid w:val="008937FC"/>
    <w:rsid w:val="00991508"/>
    <w:rsid w:val="009C3EA3"/>
    <w:rsid w:val="00A51DF6"/>
    <w:rsid w:val="00AF40CB"/>
    <w:rsid w:val="00B003D3"/>
    <w:rsid w:val="00B807DB"/>
    <w:rsid w:val="00BA4F72"/>
    <w:rsid w:val="00C41AB3"/>
    <w:rsid w:val="00CA61FC"/>
    <w:rsid w:val="00CB2D2F"/>
    <w:rsid w:val="00D44982"/>
    <w:rsid w:val="00D74E2E"/>
    <w:rsid w:val="00D903C7"/>
    <w:rsid w:val="00EA25DB"/>
    <w:rsid w:val="00EC134B"/>
    <w:rsid w:val="00ED3E24"/>
    <w:rsid w:val="00F27568"/>
    <w:rsid w:val="00FF6B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37FC"/>
    <w:pPr>
      <w:ind w:left="720"/>
      <w:contextualSpacing/>
    </w:pPr>
    <w:rPr>
      <w:rFonts w:ascii="Calibri" w:eastAsia="Calibri" w:hAnsi="Calibri" w:cs="Arial"/>
    </w:rPr>
  </w:style>
  <w:style w:type="paragraph" w:styleId="Notedebasdepage">
    <w:name w:val="footnote text"/>
    <w:basedOn w:val="Normal"/>
    <w:link w:val="NotedebasdepageCar"/>
    <w:uiPriority w:val="99"/>
    <w:unhideWhenUsed/>
    <w:rsid w:val="00097CB6"/>
    <w:rPr>
      <w:rFonts w:ascii="Calibri" w:eastAsia="Calibri" w:hAnsi="Calibri" w:cs="Times New Roman"/>
      <w:sz w:val="24"/>
      <w:szCs w:val="24"/>
      <w:lang/>
    </w:rPr>
  </w:style>
  <w:style w:type="character" w:customStyle="1" w:styleId="NotedebasdepageCar">
    <w:name w:val="Note de bas de page Car"/>
    <w:basedOn w:val="Policepardfaut"/>
    <w:link w:val="Notedebasdepage"/>
    <w:uiPriority w:val="99"/>
    <w:rsid w:val="00097CB6"/>
    <w:rPr>
      <w:rFonts w:ascii="Calibri" w:eastAsia="Calibri" w:hAnsi="Calibri" w:cs="Times New Roman"/>
      <w:sz w:val="24"/>
      <w:szCs w:val="24"/>
      <w:lang/>
    </w:rPr>
  </w:style>
  <w:style w:type="character" w:styleId="Appelnotedebasdep">
    <w:name w:val="footnote reference"/>
    <w:uiPriority w:val="99"/>
    <w:unhideWhenUsed/>
    <w:rsid w:val="00097CB6"/>
    <w:rPr>
      <w:vertAlign w:val="superscript"/>
    </w:rPr>
  </w:style>
  <w:style w:type="paragraph" w:styleId="NormalWeb">
    <w:name w:val="Normal (Web)"/>
    <w:basedOn w:val="Normal"/>
    <w:uiPriority w:val="99"/>
    <w:semiHidden/>
    <w:unhideWhenUsed/>
    <w:rsid w:val="00D4498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44982"/>
    <w:pPr>
      <w:tabs>
        <w:tab w:val="center" w:pos="4536"/>
        <w:tab w:val="right" w:pos="9072"/>
      </w:tabs>
      <w:spacing w:after="0" w:line="240" w:lineRule="auto"/>
    </w:pPr>
  </w:style>
  <w:style w:type="character" w:customStyle="1" w:styleId="En-tteCar">
    <w:name w:val="En-tête Car"/>
    <w:basedOn w:val="Policepardfaut"/>
    <w:link w:val="En-tte"/>
    <w:uiPriority w:val="99"/>
    <w:rsid w:val="00D44982"/>
  </w:style>
  <w:style w:type="paragraph" w:styleId="Pieddepage">
    <w:name w:val="footer"/>
    <w:basedOn w:val="Normal"/>
    <w:link w:val="PieddepageCar"/>
    <w:uiPriority w:val="99"/>
    <w:unhideWhenUsed/>
    <w:rsid w:val="00D449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982"/>
  </w:style>
</w:styles>
</file>

<file path=word/webSettings.xml><?xml version="1.0" encoding="utf-8"?>
<w:webSettings xmlns:r="http://schemas.openxmlformats.org/officeDocument/2006/relationships" xmlns:w="http://schemas.openxmlformats.org/wordprocessingml/2006/main">
  <w:divs>
    <w:div w:id="15302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1017</Words>
  <Characters>5596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m.sadki</cp:lastModifiedBy>
  <cp:revision>2</cp:revision>
  <dcterms:created xsi:type="dcterms:W3CDTF">2018-05-08T15:05:00Z</dcterms:created>
  <dcterms:modified xsi:type="dcterms:W3CDTF">2018-05-08T15:05:00Z</dcterms:modified>
</cp:coreProperties>
</file>